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854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7"/>
        <w:gridCol w:w="4926"/>
      </w:tblGrid>
      <w:tr>
        <w:trPr/>
        <w:tc>
          <w:tcPr>
            <w:tcW w:w="4927" w:type="dxa"/>
            <w:tcBorders/>
            <w:shd w:color="auto" w:fill="auto" w:val="clear"/>
          </w:tcPr>
          <w:p>
            <w:pPr>
              <w:pStyle w:val="Normal"/>
              <w:ind w:hanging="0"/>
              <w:jc w:val="center"/>
              <w:rPr>
                <w:rFonts w:ascii="Minion Pro" w:hAnsi="Minion Pro"/>
                <w:b/>
                <w:b/>
                <w:sz w:val="24"/>
                <w:szCs w:val="24"/>
              </w:rPr>
            </w:pPr>
            <w:r>
              <w:rPr>
                <w:rFonts w:ascii="Minion Pro" w:hAnsi="Minion Pro"/>
                <w:b/>
                <w:sz w:val="24"/>
                <w:szCs w:val="24"/>
              </w:rPr>
              <w:t>МІНІСТЭРСТВА ФІНАНСАЎ</w:t>
            </w:r>
          </w:p>
          <w:p>
            <w:pPr>
              <w:pStyle w:val="Normal"/>
              <w:spacing w:before="0" w:after="100"/>
              <w:ind w:hanging="0"/>
              <w:jc w:val="center"/>
              <w:rPr>
                <w:rFonts w:ascii="Minion Pro" w:hAnsi="Minion Pro"/>
                <w:sz w:val="24"/>
                <w:szCs w:val="24"/>
              </w:rPr>
            </w:pPr>
            <w:r>
              <w:rPr>
                <w:rFonts w:ascii="Minion Pro" w:hAnsi="Minion Pro"/>
                <w:b/>
                <w:sz w:val="24"/>
                <w:szCs w:val="24"/>
              </w:rPr>
              <w:t>РЭСПУБЛІКІ БЕЛАРУСЬ</w:t>
            </w:r>
          </w:p>
          <w:p>
            <w:pPr>
              <w:pStyle w:val="Normal"/>
              <w:ind w:hanging="0"/>
              <w:jc w:val="center"/>
              <w:rPr>
                <w:rFonts w:ascii="Minion Pro" w:hAnsi="Minion Pro"/>
                <w:sz w:val="20"/>
                <w:szCs w:val="20"/>
              </w:rPr>
            </w:pPr>
            <w:r>
              <w:rPr>
                <w:rFonts w:ascii="Minion Pro" w:hAnsi="Minion Pro"/>
                <w:sz w:val="20"/>
                <w:szCs w:val="20"/>
              </w:rPr>
              <w:t>вул. Савецкая, 7, 220010, г. Мінск,</w:t>
            </w:r>
          </w:p>
          <w:p>
            <w:pPr>
              <w:pStyle w:val="Normal"/>
              <w:ind w:hanging="0"/>
              <w:jc w:val="center"/>
              <w:rPr>
                <w:rFonts w:ascii="Minion Pro" w:hAnsi="Minion Pro"/>
                <w:sz w:val="20"/>
                <w:szCs w:val="20"/>
                <w:lang w:val="en-US"/>
              </w:rPr>
            </w:pPr>
            <w:r>
              <w:rPr>
                <w:rFonts w:ascii="Minion Pro" w:hAnsi="Minion Pro"/>
                <w:sz w:val="20"/>
                <w:szCs w:val="20"/>
                <w:lang w:val="en-US"/>
              </w:rPr>
              <w:t>e-mail: minfin@minfin.gov.by</w:t>
            </w:r>
          </w:p>
          <w:p>
            <w:pPr>
              <w:pStyle w:val="Normal"/>
              <w:ind w:hanging="0"/>
              <w:jc w:val="center"/>
              <w:rPr>
                <w:rFonts w:ascii="Minion Pro" w:hAnsi="Minion Pro"/>
                <w:sz w:val="20"/>
                <w:szCs w:val="20"/>
                <w:lang w:val="en-US"/>
              </w:rPr>
            </w:pPr>
            <w:r>
              <w:rPr>
                <w:rFonts w:ascii="Minion Pro" w:hAnsi="Minion Pro"/>
                <w:sz w:val="20"/>
                <w:szCs w:val="20"/>
              </w:rPr>
              <w:t>тэл</w:t>
            </w:r>
            <w:r>
              <w:rPr>
                <w:rFonts w:ascii="Minion Pro" w:hAnsi="Minion Pro"/>
                <w:sz w:val="20"/>
                <w:szCs w:val="20"/>
                <w:lang w:val="en-US"/>
              </w:rPr>
              <w:t xml:space="preserve">. (017) 222 61 37, </w:t>
            </w:r>
            <w:r>
              <w:rPr>
                <w:rFonts w:ascii="Minion Pro" w:hAnsi="Minion Pro"/>
                <w:sz w:val="20"/>
                <w:szCs w:val="20"/>
              </w:rPr>
              <w:t>факс</w:t>
            </w:r>
            <w:r>
              <w:rPr>
                <w:rFonts w:ascii="Minion Pro" w:hAnsi="Minion Pro"/>
                <w:sz w:val="20"/>
                <w:szCs w:val="20"/>
                <w:lang w:val="en-US"/>
              </w:rPr>
              <w:t xml:space="preserve"> (017) 222 45 93</w:t>
            </w:r>
          </w:p>
          <w:p>
            <w:pPr>
              <w:pStyle w:val="Normal"/>
              <w:ind w:hanging="0"/>
              <w:jc w:val="center"/>
              <w:rPr>
                <w:rFonts w:ascii="Minion Pro" w:hAnsi="Minion Pro"/>
                <w:sz w:val="20"/>
                <w:szCs w:val="20"/>
                <w:lang w:val="en-US"/>
              </w:rPr>
            </w:pPr>
            <w:r>
              <w:rPr>
                <w:rFonts w:ascii="Minion Pro" w:hAnsi="Minion Pro"/>
                <w:sz w:val="20"/>
                <w:szCs w:val="20"/>
              </w:rPr>
              <w:t>АКОДК</w:t>
            </w:r>
            <w:r>
              <w:rPr>
                <w:rFonts w:ascii="Minion Pro" w:hAnsi="Minion Pro"/>
                <w:sz w:val="20"/>
                <w:szCs w:val="20"/>
                <w:lang w:val="en-US"/>
              </w:rPr>
              <w:t xml:space="preserve"> 02200, </w:t>
            </w:r>
            <w:r>
              <w:rPr>
                <w:rFonts w:ascii="Minion Pro" w:hAnsi="Minion Pro"/>
                <w:sz w:val="20"/>
                <w:szCs w:val="20"/>
                <w:lang w:val="be-BY"/>
              </w:rPr>
              <w:t xml:space="preserve">                                                                               </w:t>
            </w:r>
            <w:r>
              <w:rPr>
                <w:rFonts w:ascii="Minion Pro" w:hAnsi="Minion Pro"/>
                <w:sz w:val="20"/>
                <w:szCs w:val="20"/>
              </w:rPr>
              <w:t>р</w:t>
            </w:r>
            <w:r>
              <w:rPr>
                <w:rFonts w:ascii="Minion Pro" w:hAnsi="Minion Pro"/>
                <w:sz w:val="20"/>
                <w:szCs w:val="20"/>
                <w:lang w:val="en-US"/>
              </w:rPr>
              <w:t>/</w:t>
            </w:r>
            <w:r>
              <w:rPr>
                <w:rFonts w:ascii="Minion Pro" w:hAnsi="Minion Pro"/>
                <w:sz w:val="20"/>
                <w:szCs w:val="20"/>
              </w:rPr>
              <w:t>р</w:t>
            </w:r>
            <w:r>
              <w:rPr>
                <w:rFonts w:ascii="Minion Pro" w:hAnsi="Minion Pro"/>
                <w:sz w:val="20"/>
                <w:szCs w:val="20"/>
                <w:lang w:val="en-US"/>
              </w:rPr>
              <w:t xml:space="preserve"> BY83AKBB36049000005730000000,</w:t>
            </w:r>
            <w:r>
              <w:rPr>
                <w:rFonts w:ascii="Minion Pro" w:hAnsi="Minion Pro"/>
                <w:sz w:val="20"/>
                <w:szCs w:val="20"/>
                <w:lang w:val="be-BY"/>
              </w:rPr>
              <w:t xml:space="preserve">                    </w:t>
            </w:r>
            <w:r>
              <w:rPr>
                <w:rFonts w:ascii="Minion Pro" w:hAnsi="Minion Pro"/>
                <w:sz w:val="20"/>
                <w:szCs w:val="20"/>
              </w:rPr>
              <w:t>ААТ</w:t>
            </w:r>
            <w:r>
              <w:rPr>
                <w:rFonts w:ascii="Minion Pro" w:hAnsi="Minion Pro"/>
                <w:sz w:val="20"/>
                <w:szCs w:val="20"/>
                <w:lang w:val="en-US"/>
              </w:rPr>
              <w:t xml:space="preserve"> «</w:t>
            </w:r>
            <w:r>
              <w:rPr>
                <w:rFonts w:ascii="Minion Pro" w:hAnsi="Minion Pro"/>
                <w:sz w:val="20"/>
                <w:szCs w:val="20"/>
              </w:rPr>
              <w:t>ААБ</w:t>
            </w:r>
            <w:r>
              <w:rPr>
                <w:rFonts w:ascii="Minion Pro" w:hAnsi="Minion Pro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inion Pro" w:hAnsi="Minion Pro"/>
                <w:sz w:val="20"/>
                <w:szCs w:val="20"/>
              </w:rPr>
              <w:t>Беларусбанк</w:t>
            </w:r>
            <w:r>
              <w:rPr>
                <w:rFonts w:ascii="Minion Pro" w:hAnsi="Minion Pro"/>
                <w:sz w:val="20"/>
                <w:szCs w:val="20"/>
                <w:lang w:val="en-US"/>
              </w:rPr>
              <w:t xml:space="preserve">»,                                             </w:t>
            </w:r>
            <w:r>
              <w:rPr>
                <w:rFonts w:ascii="Minion Pro" w:hAnsi="Minion Pro"/>
                <w:sz w:val="20"/>
                <w:szCs w:val="20"/>
                <w:lang w:val="be-BY"/>
              </w:rPr>
              <w:t>БІК АКВВ В</w:t>
            </w:r>
            <w:r>
              <w:rPr>
                <w:rFonts w:ascii="Minion Pro" w:hAnsi="Minion Pro"/>
                <w:sz w:val="20"/>
                <w:szCs w:val="20"/>
                <w:lang w:val="en-US"/>
              </w:rPr>
              <w:t xml:space="preserve">Y 2X, </w:t>
            </w:r>
            <w:r>
              <w:rPr>
                <w:rFonts w:ascii="Minion Pro" w:hAnsi="Minion Pro"/>
                <w:sz w:val="20"/>
                <w:szCs w:val="20"/>
              </w:rPr>
              <w:t>УНП</w:t>
            </w:r>
            <w:r>
              <w:rPr>
                <w:rFonts w:ascii="Minion Pro" w:hAnsi="Minion Pro"/>
                <w:sz w:val="20"/>
                <w:szCs w:val="20"/>
                <w:lang w:val="en-US"/>
              </w:rPr>
              <w:t xml:space="preserve"> 100691903</w:t>
            </w:r>
          </w:p>
        </w:tc>
        <w:tc>
          <w:tcPr>
            <w:tcW w:w="4926" w:type="dxa"/>
            <w:tcBorders/>
            <w:shd w:color="auto" w:fill="auto" w:val="clear"/>
          </w:tcPr>
          <w:p>
            <w:pPr>
              <w:pStyle w:val="Normal"/>
              <w:ind w:hanging="0"/>
              <w:jc w:val="center"/>
              <w:rPr>
                <w:rFonts w:ascii="Minion Pro" w:hAnsi="Minion Pro"/>
                <w:b/>
                <w:b/>
                <w:sz w:val="24"/>
                <w:szCs w:val="24"/>
              </w:rPr>
            </w:pPr>
            <w:r>
              <w:rPr>
                <w:rFonts w:ascii="Minion Pro" w:hAnsi="Minion Pro"/>
                <w:b/>
                <w:sz w:val="24"/>
                <w:szCs w:val="24"/>
              </w:rPr>
              <w:t>МИНИСТЕРСТВО ФИНАНСОВ</w:t>
            </w:r>
          </w:p>
          <w:p>
            <w:pPr>
              <w:pStyle w:val="Normal"/>
              <w:spacing w:before="0" w:after="100"/>
              <w:ind w:hanging="0"/>
              <w:jc w:val="center"/>
              <w:rPr>
                <w:rFonts w:ascii="Minion Pro" w:hAnsi="Minion Pro"/>
                <w:b/>
                <w:b/>
                <w:sz w:val="24"/>
                <w:szCs w:val="24"/>
              </w:rPr>
            </w:pPr>
            <w:r>
              <w:rPr>
                <w:rFonts w:ascii="Minion Pro" w:hAnsi="Minion Pro"/>
                <w:b/>
                <w:sz w:val="24"/>
                <w:szCs w:val="24"/>
              </w:rPr>
              <w:t>РЕСПУБЛИКИ БЕЛАРУСЬ</w:t>
            </w:r>
          </w:p>
          <w:p>
            <w:pPr>
              <w:pStyle w:val="Normal"/>
              <w:ind w:hanging="0"/>
              <w:jc w:val="center"/>
              <w:rPr>
                <w:rFonts w:ascii="Minion Pro" w:hAnsi="Minion Pro"/>
                <w:sz w:val="20"/>
                <w:szCs w:val="20"/>
              </w:rPr>
            </w:pPr>
            <w:r>
              <w:rPr>
                <w:rFonts w:ascii="Minion Pro" w:hAnsi="Minion Pro"/>
                <w:sz w:val="20"/>
                <w:szCs w:val="20"/>
              </w:rPr>
              <w:t>ул. Советская, 7, 220010, г. Минск,</w:t>
            </w:r>
          </w:p>
          <w:p>
            <w:pPr>
              <w:pStyle w:val="Normal"/>
              <w:ind w:hanging="0"/>
              <w:jc w:val="center"/>
              <w:rPr>
                <w:rFonts w:ascii="Minion Pro" w:hAnsi="Minion Pro"/>
                <w:sz w:val="20"/>
                <w:szCs w:val="20"/>
                <w:lang w:val="en-US"/>
              </w:rPr>
            </w:pPr>
            <w:r>
              <w:rPr>
                <w:rFonts w:ascii="Minion Pro" w:hAnsi="Minion Pro"/>
                <w:sz w:val="20"/>
                <w:szCs w:val="20"/>
                <w:lang w:val="en-US"/>
              </w:rPr>
              <w:t>e-mail: minfin@minfin.gov.by</w:t>
            </w:r>
          </w:p>
          <w:p>
            <w:pPr>
              <w:pStyle w:val="Normal"/>
              <w:ind w:hanging="0"/>
              <w:jc w:val="center"/>
              <w:rPr>
                <w:rFonts w:ascii="Minion Pro" w:hAnsi="Minion Pro"/>
                <w:sz w:val="20"/>
                <w:szCs w:val="20"/>
              </w:rPr>
            </w:pPr>
            <w:r>
              <w:rPr>
                <w:rFonts w:ascii="Minion Pro" w:hAnsi="Minion Pro"/>
                <w:sz w:val="20"/>
                <w:szCs w:val="20"/>
              </w:rPr>
              <w:t>тел. (017) 222 61 37, факс (017) 222 45 93</w:t>
            </w:r>
          </w:p>
          <w:p>
            <w:pPr>
              <w:pStyle w:val="Normal"/>
              <w:ind w:hanging="0"/>
              <w:jc w:val="center"/>
              <w:rPr>
                <w:rFonts w:ascii="Minion Pro" w:hAnsi="Minion Pro"/>
                <w:sz w:val="20"/>
                <w:szCs w:val="20"/>
              </w:rPr>
            </w:pPr>
            <w:r>
              <w:rPr>
                <w:rFonts w:ascii="Minion Pro" w:hAnsi="Minion Pro"/>
                <w:sz w:val="20"/>
                <w:szCs w:val="20"/>
              </w:rPr>
              <w:t xml:space="preserve">ОКОГУ 02200, </w:t>
            </w:r>
          </w:p>
          <w:p>
            <w:pPr>
              <w:pStyle w:val="Normal"/>
              <w:ind w:hanging="0"/>
              <w:jc w:val="center"/>
              <w:rPr>
                <w:rFonts w:ascii="Minion Pro" w:hAnsi="Minion Pro"/>
                <w:sz w:val="20"/>
                <w:szCs w:val="20"/>
              </w:rPr>
            </w:pPr>
            <w:r>
              <w:rPr>
                <w:rFonts w:ascii="Minion Pro" w:hAnsi="Minion Pro"/>
                <w:sz w:val="20"/>
                <w:szCs w:val="20"/>
              </w:rPr>
              <w:t xml:space="preserve">р/с </w:t>
            </w:r>
            <w:r>
              <w:rPr>
                <w:rFonts w:ascii="Minion Pro" w:hAnsi="Minion Pro"/>
                <w:sz w:val="20"/>
                <w:szCs w:val="20"/>
                <w:lang w:val="en-US"/>
              </w:rPr>
              <w:t>BY</w:t>
            </w:r>
            <w:r>
              <w:rPr>
                <w:rFonts w:ascii="Minion Pro" w:hAnsi="Minion Pro"/>
                <w:sz w:val="20"/>
                <w:szCs w:val="20"/>
              </w:rPr>
              <w:t>83</w:t>
            </w:r>
            <w:r>
              <w:rPr>
                <w:rFonts w:ascii="Minion Pro" w:hAnsi="Minion Pro"/>
                <w:sz w:val="20"/>
                <w:szCs w:val="20"/>
                <w:lang w:val="en-US"/>
              </w:rPr>
              <w:t>AKBB</w:t>
            </w:r>
            <w:r>
              <w:rPr>
                <w:rFonts w:ascii="Minion Pro" w:hAnsi="Minion Pro"/>
                <w:sz w:val="20"/>
                <w:szCs w:val="20"/>
              </w:rPr>
              <w:t>36049000005730000000,</w:t>
            </w:r>
          </w:p>
          <w:p>
            <w:pPr>
              <w:pStyle w:val="Normal"/>
              <w:ind w:hanging="0"/>
              <w:jc w:val="center"/>
              <w:rPr>
                <w:rFonts w:ascii="Minion Pro" w:hAnsi="Minion Pro"/>
                <w:sz w:val="20"/>
                <w:szCs w:val="20"/>
              </w:rPr>
            </w:pPr>
            <w:r>
              <w:rPr>
                <w:rFonts w:ascii="Minion Pro" w:hAnsi="Minion Pro"/>
                <w:sz w:val="20"/>
                <w:szCs w:val="20"/>
              </w:rPr>
              <w:t xml:space="preserve">ОАО «АСБ Беларусбанк», </w:t>
            </w:r>
          </w:p>
          <w:p>
            <w:pPr>
              <w:pStyle w:val="Normal"/>
              <w:ind w:hanging="0"/>
              <w:jc w:val="center"/>
              <w:rPr>
                <w:rFonts w:ascii="Minion Pro" w:hAnsi="Minion Pro"/>
                <w:sz w:val="22"/>
                <w:szCs w:val="22"/>
              </w:rPr>
            </w:pPr>
            <w:r>
              <w:rPr>
                <w:rFonts w:ascii="Minion Pro" w:hAnsi="Minion Pro"/>
                <w:sz w:val="20"/>
                <w:szCs w:val="20"/>
                <w:lang w:val="be-BY"/>
              </w:rPr>
              <w:t>Б</w:t>
            </w:r>
            <w:r>
              <w:rPr>
                <w:rFonts w:ascii="Minion Pro" w:hAnsi="Minion Pro"/>
                <w:sz w:val="20"/>
                <w:szCs w:val="20"/>
              </w:rPr>
              <w:t>И</w:t>
            </w:r>
            <w:r>
              <w:rPr>
                <w:rFonts w:ascii="Minion Pro" w:hAnsi="Minion Pro"/>
                <w:sz w:val="20"/>
                <w:szCs w:val="20"/>
                <w:lang w:val="be-BY"/>
              </w:rPr>
              <w:t>К АКВВ В</w:t>
            </w:r>
            <w:r>
              <w:rPr>
                <w:rFonts w:ascii="Minion Pro" w:hAnsi="Minion Pro"/>
                <w:sz w:val="20"/>
                <w:szCs w:val="20"/>
                <w:lang w:val="en-US"/>
              </w:rPr>
              <w:t>Y</w:t>
            </w:r>
            <w:r>
              <w:rPr>
                <w:rFonts w:ascii="Minion Pro" w:hAnsi="Minion Pro"/>
                <w:sz w:val="20"/>
                <w:szCs w:val="20"/>
              </w:rPr>
              <w:t xml:space="preserve"> 2</w:t>
            </w:r>
            <w:r>
              <w:rPr>
                <w:rFonts w:ascii="Minion Pro" w:hAnsi="Minion Pro"/>
                <w:sz w:val="20"/>
                <w:szCs w:val="20"/>
                <w:lang w:val="en-US"/>
              </w:rPr>
              <w:t>X</w:t>
            </w:r>
            <w:r>
              <w:rPr>
                <w:rFonts w:ascii="Minion Pro" w:hAnsi="Minion Pro"/>
                <w:sz w:val="20"/>
                <w:szCs w:val="20"/>
              </w:rPr>
              <w:t>, УНП 100691903</w:t>
            </w:r>
          </w:p>
        </w:tc>
      </w:tr>
    </w:tbl>
    <w:p>
      <w:pPr>
        <w:pStyle w:val="Normal"/>
        <w:spacing w:lineRule="auto" w:line="276" w:before="0" w:after="120"/>
        <w:ind w:hanging="0"/>
        <w:jc w:val="center"/>
        <w:rPr>
          <w:rFonts w:ascii="Minion Pro" w:hAnsi="Minion Pro"/>
          <w:sz w:val="22"/>
          <w:szCs w:val="22"/>
        </w:rPr>
      </w:pPr>
      <w:r>
        <w:rPr>
          <w:rFonts w:ascii="Minion Pro" w:hAnsi="Minion Pro"/>
          <w:sz w:val="22"/>
          <w:szCs w:val="22"/>
        </w:rPr>
      </w:r>
    </w:p>
    <w:tbl>
      <w:tblPr>
        <w:tblStyle w:val="a3"/>
        <w:tblW w:w="98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49"/>
        <w:gridCol w:w="2268"/>
        <w:gridCol w:w="1133"/>
        <w:gridCol w:w="120"/>
        <w:gridCol w:w="4983"/>
      </w:tblGrid>
      <w:tr>
        <w:trPr/>
        <w:tc>
          <w:tcPr>
            <w:tcW w:w="3617" w:type="dxa"/>
            <w:gridSpan w:val="2"/>
            <w:tcBorders>
              <w:top w:val="nil"/>
              <w:left w:val="nil"/>
              <w:right w:val="nil"/>
              <w:insideV w:val="nil"/>
            </w:tcBorders>
            <w:shd w:color="auto" w:fill="auto" w:val="clear"/>
          </w:tcPr>
          <w:p>
            <w:pPr>
              <w:pStyle w:val="Normal"/>
              <w:ind w:hanging="0"/>
              <w:jc w:val="center"/>
              <w:rPr>
                <w:rFonts w:ascii="Minion Pro" w:hAnsi="Minion Pro"/>
                <w:lang w:val="be-BY"/>
              </w:rPr>
            </w:pPr>
            <w:r>
              <w:rPr>
                <w:rFonts w:ascii="Minion Pro" w:hAnsi="Minion Pro"/>
                <w:lang w:val="be-BY"/>
              </w:rPr>
              <w:t>27.09.2018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  <w:vAlign w:val="bottom"/>
          </w:tcPr>
          <w:p>
            <w:pPr>
              <w:pStyle w:val="Normal"/>
              <w:ind w:hanging="0"/>
              <w:jc w:val="center"/>
              <w:rPr>
                <w:rFonts w:ascii="Minion Pro" w:hAnsi="Minion Pro"/>
                <w:sz w:val="18"/>
                <w:szCs w:val="18"/>
              </w:rPr>
            </w:pPr>
            <w:r>
              <w:rPr>
                <w:rFonts w:ascii="Minion Pro" w:hAnsi="Minion Pro"/>
                <w:sz w:val="18"/>
                <w:szCs w:val="18"/>
              </w:rPr>
              <w:t>№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right w:val="nil"/>
              <w:insideV w:val="nil"/>
            </w:tcBorders>
            <w:shd w:color="auto" w:fill="auto" w:val="clear"/>
          </w:tcPr>
          <w:p>
            <w:pPr>
              <w:pStyle w:val="Normal"/>
              <w:ind w:hanging="0"/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1-1-25/46/КЛ-292</w:t>
            </w:r>
          </w:p>
        </w:tc>
      </w:tr>
      <w:tr>
        <w:trPr/>
        <w:tc>
          <w:tcPr>
            <w:tcW w:w="1349" w:type="dxa"/>
            <w:tcBorders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  <w:vAlign w:val="bottom"/>
          </w:tcPr>
          <w:p>
            <w:pPr>
              <w:pStyle w:val="Normal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№</w:t>
            </w:r>
          </w:p>
        </w:tc>
        <w:tc>
          <w:tcPr>
            <w:tcW w:w="2268" w:type="dxa"/>
            <w:tcBorders>
              <w:left w:val="nil"/>
              <w:right w:val="nil"/>
              <w:insideV w:val="nil"/>
            </w:tcBorders>
            <w:shd w:color="auto" w:fill="auto" w:val="clear"/>
          </w:tcPr>
          <w:p>
            <w:pPr>
              <w:pStyle w:val="Normal"/>
              <w:ind w:hanging="0"/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  <w:vAlign w:val="bottom"/>
          </w:tcPr>
          <w:p>
            <w:pPr>
              <w:pStyle w:val="Normal"/>
              <w:ind w:hanging="0"/>
              <w:jc w:val="center"/>
              <w:rPr>
                <w:rFonts w:ascii="Minion Pro" w:hAnsi="Minion Pro"/>
                <w:sz w:val="18"/>
                <w:szCs w:val="18"/>
              </w:rPr>
            </w:pPr>
            <w:r>
              <w:rPr>
                <w:rFonts w:ascii="Minion Pro" w:hAnsi="Minion Pro"/>
                <w:sz w:val="18"/>
                <w:szCs w:val="18"/>
              </w:rPr>
              <w:t>от</w:t>
            </w:r>
          </w:p>
        </w:tc>
        <w:tc>
          <w:tcPr>
            <w:tcW w:w="5103" w:type="dxa"/>
            <w:gridSpan w:val="2"/>
            <w:tcBorders>
              <w:left w:val="nil"/>
              <w:right w:val="nil"/>
              <w:insideV w:val="nil"/>
            </w:tcBorders>
            <w:shd w:color="auto" w:fill="auto" w:val="clear"/>
          </w:tcPr>
          <w:p>
            <w:pPr>
              <w:pStyle w:val="Normal"/>
              <w:ind w:hanging="0"/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</w:r>
          </w:p>
        </w:tc>
      </w:tr>
      <w:tr>
        <w:trPr/>
        <w:tc>
          <w:tcPr>
            <w:tcW w:w="4870" w:type="dxa"/>
            <w:gridSpan w:val="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80"/>
              <w:ind w:hanging="0"/>
              <w:rPr/>
            </w:pPr>
            <w:r>
              <w:rPr/>
            </w:r>
          </w:p>
          <w:p>
            <w:pPr>
              <w:pStyle w:val="Normal"/>
              <w:spacing w:lineRule="exact" w:line="280"/>
              <w:ind w:hanging="0"/>
              <w:rPr/>
            </w:pPr>
            <w:r>
              <w:rPr/>
            </w:r>
          </w:p>
          <w:p>
            <w:pPr>
              <w:pStyle w:val="Normal"/>
              <w:spacing w:lineRule="exact" w:line="280"/>
              <w:ind w:hanging="0"/>
              <w:rPr/>
            </w:pPr>
            <w:r>
              <w:rPr/>
            </w:r>
          </w:p>
          <w:p>
            <w:pPr>
              <w:pStyle w:val="Normal"/>
              <w:spacing w:lineRule="exact" w:line="280"/>
              <w:ind w:hanging="0"/>
              <w:rPr/>
            </w:pPr>
            <w:r>
              <w:rPr/>
            </w:r>
          </w:p>
          <w:p>
            <w:pPr>
              <w:pStyle w:val="Normal"/>
              <w:spacing w:lineRule="exact" w:line="280"/>
              <w:ind w:hanging="0"/>
              <w:rPr/>
            </w:pPr>
            <w:r>
              <w:rPr/>
            </w:r>
          </w:p>
          <w:p>
            <w:pPr>
              <w:pStyle w:val="Normal"/>
              <w:spacing w:lineRule="exact" w:line="280"/>
              <w:ind w:hanging="0"/>
              <w:rPr/>
            </w:pPr>
            <w:r>
              <w:rPr/>
            </w:r>
          </w:p>
          <w:p>
            <w:pPr>
              <w:pStyle w:val="Normal"/>
              <w:spacing w:lineRule="exact" w:line="280"/>
              <w:ind w:hanging="0"/>
              <w:rPr/>
            </w:pPr>
            <w:r>
              <w:rPr/>
            </w:r>
          </w:p>
          <w:p>
            <w:pPr>
              <w:pStyle w:val="Normal"/>
              <w:spacing w:lineRule="exact" w:line="280"/>
              <w:ind w:hanging="0"/>
              <w:rPr/>
            </w:pPr>
            <w:r>
              <w:rPr/>
            </w:r>
          </w:p>
          <w:p>
            <w:pPr>
              <w:pStyle w:val="Normal"/>
              <w:spacing w:lineRule="exact" w:line="280"/>
              <w:ind w:hanging="0"/>
              <w:rPr/>
            </w:pPr>
            <w:r>
              <w:rPr/>
            </w:r>
          </w:p>
          <w:p>
            <w:pPr>
              <w:pStyle w:val="Normal"/>
              <w:spacing w:lineRule="exact" w:line="280"/>
              <w:ind w:right="544" w:hanging="0"/>
              <w:jc w:val="right"/>
              <w:rPr/>
            </w:pPr>
            <w:r>
              <w:rPr/>
              <w:t xml:space="preserve">Копия    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80"/>
              <w:ind w:hanging="0"/>
              <w:rPr/>
            </w:pPr>
            <w:r>
              <w:rPr/>
            </w:r>
          </w:p>
          <w:p>
            <w:pPr>
              <w:pStyle w:val="Normal"/>
              <w:spacing w:lineRule="exact" w:line="280"/>
              <w:ind w:hanging="0"/>
              <w:rPr/>
            </w:pPr>
            <w:r>
              <w:rPr/>
              <w:t>ХХХХХХХХХХХХХХХХХХХХХХ</w:t>
            </w:r>
          </w:p>
          <w:p>
            <w:pPr>
              <w:pStyle w:val="Normal"/>
              <w:spacing w:lineRule="exact" w:line="280"/>
              <w:ind w:hanging="0"/>
              <w:jc w:val="left"/>
              <w:rPr/>
            </w:pPr>
            <w:r>
              <w:rPr/>
              <w:t>(для информирования заинтересованных)</w:t>
            </w:r>
          </w:p>
          <w:p>
            <w:pPr>
              <w:pStyle w:val="Normal"/>
              <w:spacing w:lineRule="exact" w:line="280"/>
              <w:ind w:hanging="0"/>
              <w:rPr>
                <w:lang w:val="en-US"/>
              </w:rPr>
            </w:pPr>
            <w:r>
              <w:rPr/>
            </w:r>
          </w:p>
          <w:p>
            <w:pPr>
              <w:pStyle w:val="Normal"/>
              <w:spacing w:lineRule="exact" w:line="280"/>
              <w:ind w:hanging="0"/>
              <w:rPr>
                <w:lang w:val="en-US"/>
              </w:rPr>
            </w:pPr>
            <w:r>
              <w:rPr/>
            </w:r>
          </w:p>
          <w:p>
            <w:pPr>
              <w:pStyle w:val="Normal"/>
              <w:spacing w:lineRule="exact" w:line="280"/>
              <w:ind w:hanging="0"/>
              <w:rPr/>
            </w:pPr>
            <w:r>
              <w:rPr/>
            </w:r>
          </w:p>
          <w:p>
            <w:pPr>
              <w:pStyle w:val="Normal"/>
              <w:spacing w:lineRule="exact" w:line="280"/>
              <w:ind w:hanging="0"/>
              <w:rPr/>
            </w:pPr>
            <w:r>
              <w:rPr/>
            </w:r>
          </w:p>
          <w:p>
            <w:pPr>
              <w:pStyle w:val="Normal"/>
              <w:spacing w:lineRule="exact" w:line="280"/>
              <w:ind w:hanging="0"/>
              <w:rPr/>
            </w:pPr>
            <w:r>
              <w:rPr/>
              <w:t xml:space="preserve">Министерство по налогам и сборам Республики Беларусь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Министерство финансов Республики Беларусь рассмотрело коллективное обращение, направленное Аппаратом Совета Министров Республики Беларусь письмом от 12 сентября 2018 г. № 15/5-С-212 (далее – обращение), и в пределах своей компетенции по пункту 3.1 обращения сообщает.</w:t>
      </w:r>
    </w:p>
    <w:p>
      <w:pPr>
        <w:pStyle w:val="Normal"/>
        <w:keepNext/>
        <w:widowControl w:val="false"/>
        <w:rPr>
          <w:spacing w:val="-6"/>
        </w:rPr>
      </w:pPr>
      <w:r>
        <w:rPr>
          <w:spacing w:val="-6"/>
        </w:rPr>
        <w:t>Подпунктом 1.5 пункта 1 Указа Президента Республики Беларусь от 19.09.2017 № 338 «О налоговом консультировании» (далее – Указ) установлено, что его действие не распространяется на оказание услуг аудиторскими организациями и (или) аудиторами, осуществляющими деятельность в качестве индивидуальных предпринимателей (далее – аудиторы - индивидуальные предприниматели), при оказании ими аудиторских и профессиональных услуг. В этой связи в рамках законодательства, регулирующего аудиторскую деятельность, аудиторские организации, аудиторы - индивидуальные предприниматели вправе оказывать аудиторские услуги без получения статуса налогового консультанта.</w:t>
      </w:r>
    </w:p>
    <w:p>
      <w:pPr>
        <w:pStyle w:val="Normal"/>
        <w:rPr/>
      </w:pPr>
      <w:r>
        <w:rPr/>
        <w:t>Кроме того, аудиторские организации, аудиторы - индивидуальные предприниматели вправе оказывать профессиональные услуги, установленные Законом Республики Беларусь от 12.07.2013 «Об аудиторской деятельности» (далее – Закон «Об аудиторской деятельности»), в части услуг по ведению бухгалтерского учета, составлению бухгалтерской (финансовой) отчетности, ведению, постановке и восстановлению налогового учета, составлению налоговых деклараций (расчетов), консультационных услуг по налоговым вопросам, отнесенных в соответствии с Указом к налоговому консультированию, без получения в соответствии с законодательством работниками аудиторской организации, аудиторами – индивидуальными предпринимателями статуса налогового консультанта.</w:t>
      </w:r>
    </w:p>
    <w:p>
      <w:pPr>
        <w:pStyle w:val="Normal"/>
        <w:rPr/>
      </w:pPr>
      <w:r>
        <w:rPr/>
        <w:t>Оказание иных услуг, отнесенных к налоговому консультированию и не включенных в перечень профессиональных услуг в соответствии с Законом «Об аудиторской деятельности», подлежит осуществлению при соблюдении условий и требований, определенных Указом, в частности, наличии аттестата налогового консультанта.</w:t>
      </w:r>
    </w:p>
    <w:p>
      <w:pPr>
        <w:pStyle w:val="Normal"/>
        <w:rPr/>
      </w:pPr>
      <w:r>
        <w:rPr/>
        <w:t xml:space="preserve">Согласно пункту 1 статьи 7 Закона Республики Беларусь от 12.07.2013 «О бухгалтерском учете и отчетности» (далее – Закон «О бухгалтерском учете и отчетности») руководитель организации вправе в зависимости от объема учетной работы создавать структурное подразделение, возглавляемое главным бухгалтером, возлагать ведение бухгалтерского учета и составление отчетности на главного бухгалтера либо передавать по договору ведение бухгалтерского учета и составление отчетности организации или индивидуальному предпринимателю, оказывающим услуги по ведению бухгалтерского учета и составлению отчетности (далее – бухгалтерские организации). </w:t>
      </w:r>
    </w:p>
    <w:p>
      <w:pPr>
        <w:pStyle w:val="Normal"/>
        <w:rPr/>
      </w:pPr>
      <w:r>
        <w:rPr/>
        <w:t xml:space="preserve">К бухгалтерским организациям предъявляются требования, установленные в пунктах 3 – 6 статьи 8 Закона «О бухгалтерском учете и отчетности», аналогичные требованиям к главным бухгалтерам организаций (пункт 9 статьи 8 Закона «О бухгалтерском учете и отчетности»). Обязанности главного бухгалтера организации и бухгалтерской организации совпадают (пункт 11 статьи 8 Закона «О бухгалтерском учете и отчетности»). </w:t>
      </w:r>
    </w:p>
    <w:p>
      <w:pPr>
        <w:pStyle w:val="Normal"/>
        <w:rPr/>
      </w:pPr>
      <w:r>
        <w:rPr/>
        <w:t>Следует отметить, что законодательством не определено, в обязанности какого именно должностного лица организации входит ведение налогового учета и составление налоговых деклараций (расчетов). Указанные обязанности, как правило, вменены главному бухгалтеру (бухгалтеру) в соответствии с его должностной инструкцией, а при отсутствии в организации главного бухгалтера возлагаются на бухгалтерскую организацию согласно заключенному договору.</w:t>
      </w:r>
    </w:p>
    <w:p>
      <w:pPr>
        <w:pStyle w:val="Normal"/>
        <w:rPr/>
      </w:pPr>
      <w:r>
        <w:rPr/>
        <w:t>Подпунктом 1.5 пункта 1 Указа установлено, что его действие не распространяется, в частности, на оказание услуг по ведению бухгалтерского учета и составлению отчетности, осуществляемых организациями и (или) индивидуальными предпринимателями на основании договора.</w:t>
      </w:r>
    </w:p>
    <w:p>
      <w:pPr>
        <w:pStyle w:val="Normal"/>
        <w:rPr/>
      </w:pPr>
      <w:r>
        <w:rPr/>
        <w:t xml:space="preserve">Таким образом, по мнению Министерства финансов Республики Беларусь, бухгалтерская организация при оказании услуг по ведению бухгалтерского учета и составлению отчетности вправе осуществлять ведение налогового учета и составление налоговых деклараций (расчетов) без получения аттестата налогового консультанта. </w:t>
      </w:r>
    </w:p>
    <w:p>
      <w:pPr>
        <w:pStyle w:val="Normal"/>
        <w:rPr/>
      </w:pPr>
      <w:r>
        <w:rPr/>
        <w:t>Одновременно сообщаем, что разъяснение законодательства о налоговом консультировании согласно Указу входит в компетенцию Министерства по налогам и сборам Республики Беларусь. Позиция Министерства финансов Республики Беларусь по вышеизложенным вопросам доведена до сведения Министерства по налогам и сборам Республики Беларусь.</w:t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  <w:t>Заместитель Министра                                                  Д.Н.Кийко</w:t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>
          <w:sz w:val="18"/>
          <w:szCs w:val="18"/>
        </w:rPr>
      </w:pPr>
      <w:r>
        <w:rPr>
          <w:sz w:val="18"/>
          <w:szCs w:val="18"/>
        </w:rPr>
        <w:t>Касперович 309 42 59</w:t>
      </w:r>
    </w:p>
    <w:p>
      <w:pPr>
        <w:pStyle w:val="Normal"/>
        <w:ind w:hanging="0"/>
        <w:rPr/>
      </w:pPr>
      <w:r>
        <w:rPr>
          <w:sz w:val="18"/>
          <w:szCs w:val="18"/>
        </w:rPr>
        <w:t>Канус 309 41 52</w:t>
      </w:r>
    </w:p>
    <w:sectPr>
      <w:headerReference w:type="default" r:id="rId2"/>
      <w:type w:val="nextPage"/>
      <w:pgSz w:w="11906" w:h="16838"/>
      <w:pgMar w:left="1701" w:right="567" w:header="709" w:top="1134" w:footer="0" w:bottom="1134" w:gutter="0"/>
      <w:pgNumType w:fmt="decimal"/>
      <w:formProt w:val="false"/>
      <w:titlePg/>
      <w:textDirection w:val="lrTb"/>
      <w:docGrid w:type="default" w:linePitch="408" w:charSpace="429494886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nion Pro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893603304"/>
    </w:sdtPr>
    <w:sdtContent>
      <w:p>
        <w:pPr>
          <w:pStyle w:val="Style23"/>
          <w:jc w:val="center"/>
          <w:rPr/>
        </w:pPr>
        <w:r>
          <w:rPr>
            <w:sz w:val="28"/>
            <w:szCs w:val="28"/>
          </w:rPr>
          <w:fldChar w:fldCharType="begin"/>
        </w:r>
        <w:r>
          <w:instrText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65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/>
        <w:sz w:val="30"/>
        <w:szCs w:val="30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uiPriority="0" w:semiHidden="0" w:unhideWhenUsed="0" w:qFormat="1"/>
    <w:lsdException w:name="Default Paragraph Font" w:uiPriority="1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67de1"/>
    <w:pPr>
      <w:widowControl/>
      <w:bidi w:val="0"/>
      <w:ind w:firstLine="709"/>
      <w:jc w:val="left"/>
    </w:pPr>
    <w:rPr>
      <w:rFonts w:ascii="Times New Roman" w:hAnsi="Times New Roman" w:eastAsia="Calibri" w:cs="Times New Roman"/>
      <w:color w:val="auto"/>
      <w:sz w:val="30"/>
      <w:szCs w:val="3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263e61"/>
    <w:rPr>
      <w:color w:val="0000FF" w:themeColor="hyperlink"/>
      <w:u w:val="single"/>
    </w:rPr>
  </w:style>
  <w:style w:type="character" w:styleId="Style15" w:customStyle="1">
    <w:name w:val="Верхний колонтитул Знак"/>
    <w:basedOn w:val="DefaultParagraphFont"/>
    <w:link w:val="a5"/>
    <w:uiPriority w:val="99"/>
    <w:qFormat/>
    <w:rsid w:val="009e5a44"/>
    <w:rPr/>
  </w:style>
  <w:style w:type="character" w:styleId="Style16" w:customStyle="1">
    <w:name w:val="Нижний колонтитул Знак"/>
    <w:basedOn w:val="DefaultParagraphFont"/>
    <w:link w:val="a7"/>
    <w:uiPriority w:val="99"/>
    <w:qFormat/>
    <w:rsid w:val="009e5a44"/>
    <w:rPr/>
  </w:style>
  <w:style w:type="character" w:styleId="Style17" w:customStyle="1">
    <w:name w:val="Текст выноски Знак"/>
    <w:basedOn w:val="DefaultParagraphFont"/>
    <w:link w:val="a9"/>
    <w:uiPriority w:val="99"/>
    <w:semiHidden/>
    <w:qFormat/>
    <w:rsid w:val="00346418"/>
    <w:rPr>
      <w:rFonts w:ascii="Tahoma" w:hAnsi="Tahoma" w:cs="Tahoma"/>
      <w:sz w:val="16"/>
      <w:szCs w:val="16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Основной текст"/>
    <w:basedOn w:val="Normal"/>
    <w:pPr>
      <w:spacing w:lineRule="auto" w:line="288" w:before="0" w:after="140"/>
    </w:pPr>
    <w:rPr/>
  </w:style>
  <w:style w:type="paragraph" w:styleId="Style20">
    <w:name w:val="Список"/>
    <w:basedOn w:val="Style19"/>
    <w:pPr/>
    <w:rPr>
      <w:rFonts w:cs="Arial"/>
    </w:rPr>
  </w:style>
  <w:style w:type="paragraph" w:styleId="Style21">
    <w:name w:val="Название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Style23">
    <w:name w:val="Верхний колонтитул"/>
    <w:basedOn w:val="Normal"/>
    <w:link w:val="a6"/>
    <w:uiPriority w:val="99"/>
    <w:unhideWhenUsed/>
    <w:rsid w:val="009e5a44"/>
    <w:pPr>
      <w:tabs>
        <w:tab w:val="center" w:pos="4677" w:leader="none"/>
        <w:tab w:val="right" w:pos="9355" w:leader="none"/>
      </w:tabs>
    </w:pPr>
    <w:rPr/>
  </w:style>
  <w:style w:type="paragraph" w:styleId="Style24">
    <w:name w:val="Нижний колонтитул"/>
    <w:basedOn w:val="Normal"/>
    <w:link w:val="a8"/>
    <w:uiPriority w:val="99"/>
    <w:unhideWhenUsed/>
    <w:rsid w:val="009e5a44"/>
    <w:pPr>
      <w:tabs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a"/>
    <w:uiPriority w:val="99"/>
    <w:semiHidden/>
    <w:unhideWhenUsed/>
    <w:qFormat/>
    <w:rsid w:val="00346418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63e61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B16E8-25F5-44EE-B8D0-319F48822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Application>LibreOffice/5.1.0.3$Windows_x86 LibreOffice_project/5e3e00a007d9b3b6efb6797a8b8e57b51ab1f737</Application>
  <Pages>3</Pages>
  <Words>597</Words>
  <Characters>4458</Characters>
  <CharactersWithSpaces>5226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2018-09-26T14:52:00Z</dcterms:created>
  <dc:creator>Касперович Елена Николаевна</dc:creator>
  <dc:description/>
  <dc:language>ru-RU</dc:language>
  <cp:lastModifiedBy/>
  <cp:lastPrinted>2018-09-27T13:59:00Z</cp:lastPrinted>
  <dcterms:modified xsi:type="dcterms:W3CDTF">2018-09-28T10:04:35Z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