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jc w:val="right"/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ХХХХХХХХХХХХХХХХХХХХ</w:t>
      </w:r>
      <w:bookmarkStart w:id="0" w:name="_GoBack"/>
      <w:bookmarkEnd w:id="0"/>
    </w:p>
    <w:p w:rsidR="00912433" w:rsidRPr="00912433" w:rsidRDefault="00912433" w:rsidP="00912433">
      <w:pPr>
        <w:jc w:val="right"/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 xml:space="preserve"> (для ознакомления других)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Ответ на обращение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</w:rPr>
        <w:t>ХХХХХХХХХХХХХХ</w:t>
      </w:r>
      <w:r w:rsidRPr="00912433">
        <w:rPr>
          <w:rFonts w:ascii="Times New Roman" w:hAnsi="Times New Roman" w:cs="Times New Roman"/>
          <w:sz w:val="28"/>
          <w:szCs w:val="28"/>
        </w:rPr>
        <w:t>!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Слонимский районный исполнительный комитет сообщает, что Ваше обращение рассмотрено.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Площадки (их части) на автобусных остановках и открытые площадки (их части) с покрытием, расположенные в местах общественного пользования являются объектами внешнего благоустройства. Данные объекты сдаются в аренду в соответствии с Указом Президента Республики Беларусь от 29.03.2012 № 150 «О некоторых вопросах аренды и безвозмездного пользования имуществом», Инструкции о порядке сдачи в аренду капитальных строений (зданий, сооружений), изолированных помещений, машино-мест, их частей, находящихся в собственности Слонимского района, утвержденной решением Слонимского районного Совета депутатов от 22.06.2012 № 106 «О некоторых вопросах аренды недвижимого имущества, находящегося в собственности Слонимского района». Слонимским городским унитарным предприятием жилищно-коммунального хозяйства в соответствии с утвержденной схемой месторасположения плоскостного сооружения по согласованию со Слонимским районным исполнительным комитетом были сданы в аренду данные объекты недвижимости.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Вместе с тем, в соответствии с разъяснениями Министерства антимонопольного регулирования и торговли Республики Беларусь информируем, что абзацем тринадцатым пункта 3 новой редакции Декрета Президента Республики Беларусь от 19 декабря 2002 г. № 28 «О государственном регулировании производства, оборота и потребления табачного сырья и табачных изделий» в редакции Декрета Президента Республики Беларусь от 24 января 2019 г. № 2 (далее – Декрет) запрещается использование на вывесках торговых объектов слов, тождественных или сходных до степени смешения с наименованием видов табачных изделий.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Согласно понятийному аппарату Декрета: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вид табачного изделия – совокупность курительных и некурительных табачных изделий, сходных по потребительским свойствам и способу потребления;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курительное табачное изделие – табачное изделие, предназначенное для курения (сигарета, сигара, сигарилла (сигарита), папироса, табак для кальяна, табак трубочный и курительный, махорка-крупка курительная и другое;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 xml:space="preserve">некурительное табачное изделие – табачное изделие, предназначенное для сосания и (или) жевания (снюс, насвай и другие, изготовленные из табака (очищенной табачной пыли) и щелочного компонента (мела, извести или </w:t>
      </w:r>
      <w:r w:rsidRPr="00912433">
        <w:rPr>
          <w:rFonts w:ascii="Times New Roman" w:hAnsi="Times New Roman" w:cs="Times New Roman"/>
          <w:sz w:val="28"/>
          <w:szCs w:val="28"/>
        </w:rPr>
        <w:lastRenderedPageBreak/>
        <w:t>прочих щелочных компонентов) с добавлением или без добавления иных ингредиентов), нюханья или использования в системах для потребления табака.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Табак (трубочный, курительный, для кальяна) – это вид табачного изделия, поэтому называть этим словом торговые объекты и использовать эти названия на вывеске будет запрещено.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В то же время, табакерка не является наименованием вида табачного изделия (представляет собой емкость для хранения табака) и, соответственно, данный запрет не будет распространяться на тождественные названия торговых объектов.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В случае несогласия с результатом рассмотрения обращения Вы вправе обжаловать его в Гродненский областной исполнительный комитет.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tabs>
          <w:tab w:val="left" w:pos="680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ab/>
      </w:r>
      <w:r w:rsidRPr="00912433">
        <w:rPr>
          <w:rFonts w:ascii="Times New Roman" w:hAnsi="Times New Roman" w:cs="Times New Roman"/>
          <w:sz w:val="28"/>
          <w:szCs w:val="28"/>
        </w:rPr>
        <w:t xml:space="preserve">В.В.Гершгорин 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Рачко 5 05 72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2433">
        <w:rPr>
          <w:rFonts w:ascii="Times New Roman" w:hAnsi="Times New Roman" w:cs="Times New Roman"/>
          <w:sz w:val="28"/>
          <w:szCs w:val="28"/>
        </w:rPr>
        <w:lastRenderedPageBreak/>
        <w:t>Юнчиц</w:t>
      </w:r>
      <w:proofErr w:type="spellEnd"/>
      <w:r w:rsidRPr="00912433">
        <w:rPr>
          <w:rFonts w:ascii="Times New Roman" w:hAnsi="Times New Roman" w:cs="Times New Roman"/>
          <w:sz w:val="28"/>
          <w:szCs w:val="28"/>
        </w:rPr>
        <w:t xml:space="preserve"> 2 77 17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 xml:space="preserve">-- </w:t>
      </w:r>
    </w:p>
    <w:p w:rsidR="00912433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C27CE4" w:rsidRPr="00912433" w:rsidRDefault="00912433" w:rsidP="00912433">
      <w:pPr>
        <w:rPr>
          <w:rFonts w:ascii="Times New Roman" w:hAnsi="Times New Roman" w:cs="Times New Roman"/>
          <w:sz w:val="28"/>
          <w:szCs w:val="28"/>
        </w:rPr>
      </w:pPr>
      <w:r w:rsidRPr="00912433">
        <w:rPr>
          <w:rFonts w:ascii="Times New Roman" w:hAnsi="Times New Roman" w:cs="Times New Roman"/>
          <w:sz w:val="28"/>
          <w:szCs w:val="28"/>
        </w:rPr>
        <w:t xml:space="preserve"> обращения mailto:obrasch@slonim.gov.by</w:t>
      </w:r>
    </w:p>
    <w:sectPr w:rsidR="00C27CE4" w:rsidRPr="0091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33"/>
    <w:rsid w:val="00511778"/>
    <w:rsid w:val="00592F8D"/>
    <w:rsid w:val="00912433"/>
    <w:rsid w:val="00E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2019-03-08T17:21:00Z</dcterms:created>
  <dcterms:modified xsi:type="dcterms:W3CDTF">2019-03-08T17:23:00Z</dcterms:modified>
</cp:coreProperties>
</file>