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46"/>
        <w:tblW w:w="0" w:type="auto"/>
        <w:tblLook w:val="01E0"/>
      </w:tblPr>
      <w:tblGrid>
        <w:gridCol w:w="4100"/>
        <w:gridCol w:w="1600"/>
        <w:gridCol w:w="4000"/>
      </w:tblGrid>
      <w:tr w:rsidR="00A6733C" w:rsidRPr="00BB41FE" w:rsidTr="00046025">
        <w:trPr>
          <w:trHeight w:val="1704"/>
        </w:trPr>
        <w:tc>
          <w:tcPr>
            <w:tcW w:w="4100" w:type="dxa"/>
          </w:tcPr>
          <w:p w:rsidR="00A6733C" w:rsidRPr="00817614" w:rsidRDefault="00A6733C" w:rsidP="0004602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>М</w:t>
            </w:r>
            <w:r w:rsidRPr="00817614">
              <w:rPr>
                <w:b/>
                <w:sz w:val="26"/>
                <w:szCs w:val="26"/>
                <w:lang w:val="en-US"/>
              </w:rPr>
              <w:t>I</w:t>
            </w:r>
            <w:r w:rsidRPr="00817614">
              <w:rPr>
                <w:b/>
                <w:sz w:val="26"/>
                <w:szCs w:val="26"/>
              </w:rPr>
              <w:t>Н</w:t>
            </w:r>
            <w:r w:rsidRPr="00817614">
              <w:rPr>
                <w:b/>
                <w:sz w:val="26"/>
                <w:szCs w:val="26"/>
                <w:lang w:val="en-US"/>
              </w:rPr>
              <w:t>I</w:t>
            </w:r>
            <w:r w:rsidRPr="00817614">
              <w:rPr>
                <w:b/>
                <w:sz w:val="26"/>
                <w:szCs w:val="26"/>
              </w:rPr>
              <w:t>СТЭРСТВА</w:t>
            </w:r>
          </w:p>
          <w:p w:rsidR="00A6733C" w:rsidRPr="00817614" w:rsidRDefault="00A6733C" w:rsidP="0004602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 xml:space="preserve">ПА ПАДАТКАХ </w:t>
            </w:r>
            <w:r w:rsidRPr="00817614">
              <w:rPr>
                <w:b/>
                <w:sz w:val="26"/>
                <w:szCs w:val="26"/>
                <w:lang w:val="en-US"/>
              </w:rPr>
              <w:t>I</w:t>
            </w:r>
            <w:r w:rsidRPr="00817614">
              <w:rPr>
                <w:b/>
                <w:sz w:val="26"/>
                <w:szCs w:val="26"/>
              </w:rPr>
              <w:t xml:space="preserve"> ЗБОРАХ</w:t>
            </w:r>
          </w:p>
          <w:p w:rsidR="00A6733C" w:rsidRPr="00817614" w:rsidRDefault="00A6733C" w:rsidP="0004602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>РЭСПУБЛ</w:t>
            </w:r>
            <w:r w:rsidRPr="00817614">
              <w:rPr>
                <w:b/>
                <w:sz w:val="26"/>
                <w:szCs w:val="26"/>
                <w:lang w:val="en-US"/>
              </w:rPr>
              <w:t>I</w:t>
            </w:r>
            <w:r w:rsidRPr="00817614">
              <w:rPr>
                <w:b/>
                <w:sz w:val="26"/>
                <w:szCs w:val="26"/>
              </w:rPr>
              <w:t>К</w:t>
            </w:r>
            <w:r w:rsidRPr="00817614">
              <w:rPr>
                <w:b/>
                <w:sz w:val="26"/>
                <w:szCs w:val="26"/>
                <w:lang w:val="en-US"/>
              </w:rPr>
              <w:t>I</w:t>
            </w:r>
            <w:r w:rsidRPr="00817614">
              <w:rPr>
                <w:b/>
                <w:sz w:val="26"/>
                <w:szCs w:val="26"/>
              </w:rPr>
              <w:t xml:space="preserve"> БЕЛАРУСЬ</w:t>
            </w:r>
          </w:p>
          <w:p w:rsidR="00A6733C" w:rsidRPr="00817614" w:rsidRDefault="00A6733C" w:rsidP="0004602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6733C" w:rsidRPr="00817614" w:rsidRDefault="00A6733C" w:rsidP="00046025">
            <w:pPr>
              <w:jc w:val="center"/>
              <w:rPr>
                <w:sz w:val="18"/>
                <w:szCs w:val="18"/>
              </w:rPr>
            </w:pPr>
            <w:r w:rsidRPr="00817614">
              <w:rPr>
                <w:sz w:val="18"/>
                <w:szCs w:val="18"/>
              </w:rPr>
              <w:t>вул. Савецкая, 9, 220010, г. М</w:t>
            </w:r>
            <w:r w:rsidRPr="00817614">
              <w:rPr>
                <w:sz w:val="18"/>
                <w:szCs w:val="18"/>
                <w:lang w:val="en-US"/>
              </w:rPr>
              <w:t>i</w:t>
            </w:r>
            <w:r w:rsidRPr="00817614">
              <w:rPr>
                <w:sz w:val="18"/>
                <w:szCs w:val="18"/>
              </w:rPr>
              <w:t>нск</w:t>
            </w:r>
          </w:p>
          <w:p w:rsidR="00A6733C" w:rsidRPr="005F3F25" w:rsidRDefault="00A6733C" w:rsidP="0004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5F3F25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5F3F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5F3F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A6733C" w:rsidRPr="00817614" w:rsidRDefault="00A6733C" w:rsidP="00046025">
            <w:pPr>
              <w:jc w:val="center"/>
            </w:pPr>
            <w:r w:rsidRPr="00817614">
              <w:rPr>
                <w:sz w:val="18"/>
                <w:szCs w:val="18"/>
              </w:rPr>
              <w:t>тэл. 8 (017) 229 79 12, 229 79 13, факс 222 66 87</w:t>
            </w:r>
          </w:p>
        </w:tc>
        <w:tc>
          <w:tcPr>
            <w:tcW w:w="1600" w:type="dxa"/>
          </w:tcPr>
          <w:p w:rsidR="00A6733C" w:rsidRPr="00817614" w:rsidRDefault="00A6733C" w:rsidP="00046025">
            <w:pPr>
              <w:ind w:left="-108" w:right="-108"/>
              <w:jc w:val="both"/>
            </w:pPr>
          </w:p>
        </w:tc>
        <w:tc>
          <w:tcPr>
            <w:tcW w:w="4000" w:type="dxa"/>
          </w:tcPr>
          <w:p w:rsidR="00A6733C" w:rsidRPr="00817614" w:rsidRDefault="00A6733C" w:rsidP="0004602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>МИНИСТЕРСТВО</w:t>
            </w:r>
          </w:p>
          <w:p w:rsidR="00A6733C" w:rsidRPr="00817614" w:rsidRDefault="00A6733C" w:rsidP="00046025">
            <w:pPr>
              <w:spacing w:line="280" w:lineRule="exact"/>
              <w:jc w:val="center"/>
              <w:rPr>
                <w:b/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>ПО НАЛОГАМ И СБОРАМ</w:t>
            </w:r>
          </w:p>
          <w:p w:rsidR="00A6733C" w:rsidRPr="00817614" w:rsidRDefault="00A6733C" w:rsidP="0004602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817614">
              <w:rPr>
                <w:b/>
                <w:sz w:val="26"/>
                <w:szCs w:val="26"/>
              </w:rPr>
              <w:t>РЕСПУБЛИКИ БЕЛАРУСЬ</w:t>
            </w:r>
          </w:p>
          <w:p w:rsidR="00A6733C" w:rsidRPr="00817614" w:rsidRDefault="00A6733C" w:rsidP="00046025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A6733C" w:rsidRPr="00817614" w:rsidRDefault="00A6733C" w:rsidP="00046025">
            <w:pPr>
              <w:jc w:val="center"/>
              <w:rPr>
                <w:sz w:val="18"/>
                <w:szCs w:val="18"/>
              </w:rPr>
            </w:pPr>
            <w:r w:rsidRPr="00817614">
              <w:rPr>
                <w:sz w:val="18"/>
                <w:szCs w:val="18"/>
              </w:rPr>
              <w:t>ул. Советская, 9, 220010, г. Минск</w:t>
            </w:r>
          </w:p>
          <w:p w:rsidR="00A6733C" w:rsidRPr="005F3F25" w:rsidRDefault="00A6733C" w:rsidP="000460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gnk</w:t>
            </w:r>
            <w:r w:rsidRPr="005F3F25">
              <w:rPr>
                <w:sz w:val="18"/>
                <w:szCs w:val="18"/>
              </w:rPr>
              <w:t>@</w:t>
            </w:r>
            <w:r>
              <w:rPr>
                <w:sz w:val="18"/>
                <w:szCs w:val="18"/>
                <w:lang w:val="en-US"/>
              </w:rPr>
              <w:t>mail</w:t>
            </w:r>
            <w:r w:rsidRPr="005F3F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belpak</w:t>
            </w:r>
            <w:r w:rsidRPr="005F3F2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by</w:t>
            </w:r>
          </w:p>
          <w:p w:rsidR="00A6733C" w:rsidRPr="00817614" w:rsidRDefault="00A6733C" w:rsidP="00046025">
            <w:pPr>
              <w:jc w:val="center"/>
            </w:pPr>
            <w:r w:rsidRPr="00817614">
              <w:rPr>
                <w:sz w:val="18"/>
                <w:szCs w:val="18"/>
              </w:rPr>
              <w:t>тел. 8 (017) 229 79 12, 229 79 13, факс 222 66 87</w:t>
            </w:r>
          </w:p>
        </w:tc>
      </w:tr>
    </w:tbl>
    <w:p w:rsidR="00200A8C" w:rsidRDefault="00200A8C" w:rsidP="005F5756">
      <w:pPr>
        <w:tabs>
          <w:tab w:val="left" w:pos="4500"/>
        </w:tabs>
        <w:jc w:val="both"/>
        <w:rPr>
          <w:sz w:val="30"/>
          <w:szCs w:val="3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416D6" w:rsidTr="00F17AF5">
        <w:tc>
          <w:tcPr>
            <w:tcW w:w="4927" w:type="dxa"/>
          </w:tcPr>
          <w:p w:rsidR="009416D6" w:rsidRPr="005B1E1A" w:rsidRDefault="002A4B19" w:rsidP="009416D6">
            <w:pPr>
              <w:tabs>
                <w:tab w:val="left" w:pos="4500"/>
              </w:tabs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  <w:r w:rsidR="003F3E5B">
              <w:rPr>
                <w:sz w:val="30"/>
                <w:szCs w:val="30"/>
              </w:rPr>
              <w:t>.04.2019</w:t>
            </w:r>
            <w:r w:rsidR="009416D6" w:rsidRPr="009C4005">
              <w:rPr>
                <w:sz w:val="30"/>
                <w:szCs w:val="30"/>
              </w:rPr>
              <w:t xml:space="preserve"> № </w:t>
            </w:r>
            <w:r w:rsidR="003F3E5B">
              <w:rPr>
                <w:sz w:val="30"/>
                <w:szCs w:val="30"/>
              </w:rPr>
              <w:t>1-1-26</w:t>
            </w:r>
            <w:r w:rsidR="009416D6" w:rsidRPr="001C4DA8">
              <w:rPr>
                <w:sz w:val="30"/>
                <w:szCs w:val="30"/>
              </w:rPr>
              <w:t>/</w:t>
            </w:r>
            <w:r w:rsidR="00F17AF5">
              <w:rPr>
                <w:sz w:val="30"/>
                <w:szCs w:val="30"/>
              </w:rPr>
              <w:t>М</w:t>
            </w:r>
            <w:r w:rsidR="006E5959">
              <w:rPr>
                <w:sz w:val="30"/>
                <w:szCs w:val="30"/>
              </w:rPr>
              <w:t>-</w:t>
            </w:r>
            <w:r w:rsidR="003F3E5B">
              <w:rPr>
                <w:sz w:val="30"/>
                <w:szCs w:val="30"/>
              </w:rPr>
              <w:t>003</w:t>
            </w:r>
            <w:r w:rsidR="00F17AF5">
              <w:rPr>
                <w:sz w:val="30"/>
                <w:szCs w:val="30"/>
              </w:rPr>
              <w:t>56</w:t>
            </w:r>
            <w:r w:rsidR="009416D6">
              <w:rPr>
                <w:sz w:val="30"/>
                <w:szCs w:val="30"/>
              </w:rPr>
              <w:t xml:space="preserve"> </w:t>
            </w:r>
          </w:p>
          <w:p w:rsidR="009416D6" w:rsidRDefault="009416D6" w:rsidP="009416D6">
            <w:pPr>
              <w:tabs>
                <w:tab w:val="left" w:pos="4500"/>
              </w:tabs>
              <w:jc w:val="both"/>
              <w:rPr>
                <w:sz w:val="30"/>
                <w:szCs w:val="30"/>
              </w:rPr>
            </w:pPr>
          </w:p>
        </w:tc>
        <w:tc>
          <w:tcPr>
            <w:tcW w:w="4927" w:type="dxa"/>
          </w:tcPr>
          <w:p w:rsidR="009416D6" w:rsidRDefault="00763616" w:rsidP="009416D6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ХХХХХХХХХХХХХХ</w:t>
            </w:r>
          </w:p>
          <w:p w:rsidR="00F17AF5" w:rsidRPr="00F17AF5" w:rsidRDefault="00F17AF5" w:rsidP="009416D6">
            <w:pPr>
              <w:spacing w:line="280" w:lineRule="exact"/>
              <w:rPr>
                <w:b/>
                <w:sz w:val="30"/>
                <w:szCs w:val="30"/>
              </w:rPr>
            </w:pPr>
            <w:r w:rsidRPr="00F17AF5">
              <w:rPr>
                <w:b/>
                <w:sz w:val="30"/>
                <w:szCs w:val="30"/>
              </w:rPr>
              <w:t xml:space="preserve">(просьба информировать </w:t>
            </w:r>
            <w:r w:rsidR="00A037E4">
              <w:rPr>
                <w:b/>
                <w:sz w:val="30"/>
                <w:szCs w:val="30"/>
              </w:rPr>
              <w:t>других</w:t>
            </w:r>
            <w:r w:rsidRPr="00F17AF5">
              <w:rPr>
                <w:b/>
                <w:sz w:val="30"/>
                <w:szCs w:val="30"/>
              </w:rPr>
              <w:t xml:space="preserve"> заявителей)</w:t>
            </w:r>
          </w:p>
          <w:p w:rsidR="00F17AF5" w:rsidRPr="00F17AF5" w:rsidRDefault="00F17AF5" w:rsidP="00F17AF5">
            <w:pPr>
              <w:tabs>
                <w:tab w:val="left" w:pos="6240"/>
              </w:tabs>
              <w:spacing w:line="280" w:lineRule="exact"/>
              <w:contextualSpacing/>
              <w:jc w:val="both"/>
              <w:rPr>
                <w:color w:val="000000" w:themeColor="text1"/>
                <w:sz w:val="30"/>
                <w:szCs w:val="30"/>
              </w:rPr>
            </w:pPr>
          </w:p>
          <w:p w:rsidR="009416D6" w:rsidRDefault="009416D6" w:rsidP="009416D6">
            <w:pPr>
              <w:spacing w:line="280" w:lineRule="exact"/>
              <w:rPr>
                <w:sz w:val="30"/>
                <w:szCs w:val="30"/>
              </w:rPr>
            </w:pPr>
          </w:p>
        </w:tc>
      </w:tr>
    </w:tbl>
    <w:p w:rsidR="004329C1" w:rsidRPr="00164CC8" w:rsidRDefault="004329C1" w:rsidP="00042312">
      <w:pPr>
        <w:spacing w:line="360" w:lineRule="auto"/>
        <w:ind w:left="4536"/>
        <w:jc w:val="both"/>
        <w:rPr>
          <w:sz w:val="30"/>
          <w:szCs w:val="30"/>
        </w:rPr>
      </w:pPr>
    </w:p>
    <w:p w:rsidR="002A4B19" w:rsidRDefault="000701F1" w:rsidP="005F5756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рассмотрении</w:t>
      </w:r>
      <w:r w:rsidR="002A4B19">
        <w:rPr>
          <w:sz w:val="30"/>
          <w:szCs w:val="30"/>
        </w:rPr>
        <w:t xml:space="preserve"> электронного</w:t>
      </w:r>
    </w:p>
    <w:p w:rsidR="005F5756" w:rsidRPr="00164CC8" w:rsidRDefault="005F5756" w:rsidP="005F5756">
      <w:pPr>
        <w:spacing w:line="280" w:lineRule="exact"/>
        <w:jc w:val="both"/>
        <w:rPr>
          <w:sz w:val="30"/>
          <w:szCs w:val="30"/>
        </w:rPr>
      </w:pPr>
      <w:r w:rsidRPr="00164CC8">
        <w:rPr>
          <w:sz w:val="30"/>
          <w:szCs w:val="30"/>
        </w:rPr>
        <w:t>обращения</w:t>
      </w:r>
    </w:p>
    <w:p w:rsidR="005F5756" w:rsidRPr="00164CC8" w:rsidRDefault="005F5756" w:rsidP="005F5756">
      <w:pPr>
        <w:spacing w:line="360" w:lineRule="auto"/>
        <w:ind w:firstLine="709"/>
        <w:jc w:val="both"/>
        <w:rPr>
          <w:sz w:val="30"/>
          <w:szCs w:val="30"/>
        </w:rPr>
      </w:pPr>
    </w:p>
    <w:p w:rsidR="008328F3" w:rsidRDefault="000701F1" w:rsidP="00F208D0">
      <w:pPr>
        <w:pStyle w:val="a6"/>
        <w:suppressAutoHyphens/>
        <w:spacing w:after="0"/>
        <w:ind w:firstLine="709"/>
        <w:jc w:val="both"/>
        <w:rPr>
          <w:color w:val="000000"/>
          <w:spacing w:val="6"/>
          <w:sz w:val="30"/>
          <w:szCs w:val="30"/>
        </w:rPr>
      </w:pPr>
      <w:r>
        <w:rPr>
          <w:sz w:val="30"/>
          <w:szCs w:val="30"/>
        </w:rPr>
        <w:t>В Министерстве</w:t>
      </w:r>
      <w:r w:rsidR="00042312" w:rsidRPr="00887D92">
        <w:rPr>
          <w:sz w:val="30"/>
          <w:szCs w:val="30"/>
        </w:rPr>
        <w:t xml:space="preserve"> по налогам и сбора</w:t>
      </w:r>
      <w:r w:rsidR="00042312">
        <w:rPr>
          <w:sz w:val="30"/>
          <w:szCs w:val="30"/>
        </w:rPr>
        <w:t xml:space="preserve">м </w:t>
      </w:r>
      <w:r>
        <w:rPr>
          <w:sz w:val="30"/>
          <w:szCs w:val="30"/>
        </w:rPr>
        <w:t>(далее – МНС)</w:t>
      </w:r>
      <w:r w:rsidR="003F773E" w:rsidRPr="003F773E">
        <w:rPr>
          <w:sz w:val="30"/>
          <w:szCs w:val="30"/>
        </w:rPr>
        <w:t xml:space="preserve"> </w:t>
      </w:r>
      <w:r w:rsidR="008328F3">
        <w:rPr>
          <w:sz w:val="30"/>
          <w:szCs w:val="30"/>
        </w:rPr>
        <w:t>в пределах компетенции рассмотрен</w:t>
      </w:r>
      <w:r w:rsidR="006E5959">
        <w:rPr>
          <w:sz w:val="30"/>
          <w:szCs w:val="30"/>
        </w:rPr>
        <w:t>о</w:t>
      </w:r>
      <w:r w:rsidR="008328F3">
        <w:rPr>
          <w:sz w:val="30"/>
          <w:szCs w:val="30"/>
        </w:rPr>
        <w:t xml:space="preserve"> ваш</w:t>
      </w:r>
      <w:r w:rsidR="006E5959">
        <w:rPr>
          <w:sz w:val="30"/>
          <w:szCs w:val="30"/>
        </w:rPr>
        <w:t>е</w:t>
      </w:r>
      <w:r w:rsidR="008328F3">
        <w:rPr>
          <w:sz w:val="30"/>
          <w:szCs w:val="30"/>
        </w:rPr>
        <w:t xml:space="preserve"> электронн</w:t>
      </w:r>
      <w:r w:rsidR="006E5959">
        <w:rPr>
          <w:sz w:val="30"/>
          <w:szCs w:val="30"/>
        </w:rPr>
        <w:t>о</w:t>
      </w:r>
      <w:r w:rsidR="008328F3">
        <w:rPr>
          <w:sz w:val="30"/>
          <w:szCs w:val="30"/>
        </w:rPr>
        <w:t>е обращени</w:t>
      </w:r>
      <w:r w:rsidR="006E5959">
        <w:rPr>
          <w:sz w:val="30"/>
          <w:szCs w:val="30"/>
        </w:rPr>
        <w:t>е</w:t>
      </w:r>
      <w:r w:rsidR="008328F3">
        <w:rPr>
          <w:sz w:val="30"/>
          <w:szCs w:val="30"/>
        </w:rPr>
        <w:t xml:space="preserve"> от </w:t>
      </w:r>
      <w:r w:rsidR="00F17AF5">
        <w:rPr>
          <w:sz w:val="30"/>
          <w:szCs w:val="30"/>
        </w:rPr>
        <w:t>15</w:t>
      </w:r>
      <w:r w:rsidR="00200A8C" w:rsidRPr="007D43D9">
        <w:rPr>
          <w:sz w:val="30"/>
          <w:szCs w:val="30"/>
        </w:rPr>
        <w:t xml:space="preserve">.04.2019 </w:t>
      </w:r>
      <w:r w:rsidR="00F17AF5">
        <w:rPr>
          <w:sz w:val="30"/>
          <w:szCs w:val="30"/>
        </w:rPr>
        <w:t>б/н</w:t>
      </w:r>
      <w:r w:rsidR="002A4B19">
        <w:rPr>
          <w:sz w:val="30"/>
          <w:szCs w:val="30"/>
        </w:rPr>
        <w:t>, поступившее из</w:t>
      </w:r>
      <w:r w:rsidR="00D1241E">
        <w:rPr>
          <w:sz w:val="30"/>
          <w:szCs w:val="30"/>
        </w:rPr>
        <w:t xml:space="preserve"> Аппарата Совета Министров Республики Беларусь (письмо от 25 апреля 2019 г. № 15/7-М-510) и</w:t>
      </w:r>
      <w:r w:rsidR="002A4B19">
        <w:rPr>
          <w:sz w:val="30"/>
          <w:szCs w:val="30"/>
        </w:rPr>
        <w:t xml:space="preserve"> Министерства антимонопольного регулирования и торговли (письмо от 17 апреля 2019 г. № 06-68-7/574эл),</w:t>
      </w:r>
      <w:r w:rsidR="00F17AF5">
        <w:rPr>
          <w:sz w:val="30"/>
          <w:szCs w:val="30"/>
        </w:rPr>
        <w:t xml:space="preserve"> </w:t>
      </w:r>
      <w:r w:rsidR="008328F3" w:rsidRPr="007D43D9">
        <w:rPr>
          <w:sz w:val="30"/>
          <w:szCs w:val="30"/>
        </w:rPr>
        <w:t>и</w:t>
      </w:r>
      <w:r w:rsidR="000D2ACF" w:rsidRPr="007D43D9">
        <w:rPr>
          <w:sz w:val="30"/>
          <w:szCs w:val="30"/>
        </w:rPr>
        <w:t xml:space="preserve"> </w:t>
      </w:r>
      <w:r w:rsidRPr="007D43D9">
        <w:rPr>
          <w:sz w:val="30"/>
          <w:szCs w:val="30"/>
        </w:rPr>
        <w:t>сообщается</w:t>
      </w:r>
      <w:r w:rsidR="008328F3" w:rsidRPr="007D43D9">
        <w:rPr>
          <w:color w:val="000000"/>
          <w:spacing w:val="6"/>
          <w:sz w:val="30"/>
          <w:szCs w:val="30"/>
        </w:rPr>
        <w:t>.</w:t>
      </w:r>
    </w:p>
    <w:p w:rsidR="00CE21E0" w:rsidRDefault="00CE21E0" w:rsidP="00CE21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color w:val="000000"/>
          <w:spacing w:val="6"/>
          <w:sz w:val="30"/>
          <w:szCs w:val="30"/>
        </w:rPr>
        <w:t xml:space="preserve">В соответствии с частью первой пункта 3 </w:t>
      </w:r>
      <w:hyperlink r:id="rId7" w:history="1">
        <w:r>
          <w:rPr>
            <w:rFonts w:eastAsiaTheme="minorHAnsi"/>
            <w:color w:val="0000FF"/>
            <w:sz w:val="30"/>
            <w:szCs w:val="30"/>
            <w:lang w:eastAsia="en-US"/>
          </w:rPr>
          <w:t>Указа</w:t>
        </w:r>
      </w:hyperlink>
      <w:r>
        <w:rPr>
          <w:rFonts w:eastAsiaTheme="minorHAnsi"/>
          <w:sz w:val="30"/>
          <w:szCs w:val="30"/>
          <w:lang w:eastAsia="en-US"/>
        </w:rPr>
        <w:t xml:space="preserve"> Президента Республики Беларусь от 10 января 2005 г. № 9 «Об утверждении Положения об осуществлении деятельности в сфере игорного бизнеса на территории Республики Беларусь» (в редакции Указа Президента Республики Беларусь от 19 ноября 2010 г. № 599) органом, реализующим государственную политику в сфере игорного бизнеса</w:t>
      </w:r>
      <w:r w:rsidR="002A4B19">
        <w:rPr>
          <w:rFonts w:eastAsiaTheme="minorHAnsi"/>
          <w:sz w:val="30"/>
          <w:szCs w:val="30"/>
          <w:lang w:eastAsia="en-US"/>
        </w:rPr>
        <w:t>,</w:t>
      </w:r>
      <w:r>
        <w:rPr>
          <w:rFonts w:eastAsiaTheme="minorHAnsi"/>
          <w:sz w:val="30"/>
          <w:szCs w:val="30"/>
          <w:lang w:eastAsia="en-US"/>
        </w:rPr>
        <w:t xml:space="preserve"> является МНС.</w:t>
      </w:r>
    </w:p>
    <w:p w:rsidR="00FD3D2E" w:rsidRDefault="00F17AF5" w:rsidP="00EB7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F17AF5">
        <w:rPr>
          <w:sz w:val="30"/>
          <w:szCs w:val="30"/>
        </w:rPr>
        <w:t xml:space="preserve">Направления развития игорного бизнеса в Республике Беларусь определены Концепцией развития игорного бизнеса в Республике Беларусь, утвержденной постановлением Совета Министров Республики Беларусь от 12 января </w:t>
      </w:r>
      <w:smartTag w:uri="urn:schemas-microsoft-com:office:smarttags" w:element="metricconverter">
        <w:smartTagPr>
          <w:attr w:name="ProductID" w:val="2011 г"/>
        </w:smartTagPr>
        <w:r w:rsidRPr="00F17AF5">
          <w:rPr>
            <w:sz w:val="30"/>
            <w:szCs w:val="30"/>
          </w:rPr>
          <w:t>2011 г</w:t>
        </w:r>
      </w:smartTag>
      <w:r w:rsidRPr="00F17AF5">
        <w:rPr>
          <w:sz w:val="30"/>
          <w:szCs w:val="30"/>
        </w:rPr>
        <w:t>. № 31 (далее – Концепция)</w:t>
      </w:r>
      <w:r>
        <w:rPr>
          <w:sz w:val="30"/>
          <w:szCs w:val="30"/>
        </w:rPr>
        <w:t xml:space="preserve">. </w:t>
      </w:r>
      <w:r w:rsidR="00F208D0">
        <w:rPr>
          <w:sz w:val="30"/>
          <w:szCs w:val="30"/>
        </w:rPr>
        <w:t xml:space="preserve">Основными задачами Концепции являются </w:t>
      </w:r>
      <w:r w:rsidR="00F208D0">
        <w:rPr>
          <w:rFonts w:eastAsiaTheme="minorHAnsi"/>
          <w:sz w:val="30"/>
          <w:szCs w:val="30"/>
          <w:lang w:eastAsia="en-US"/>
        </w:rPr>
        <w:t>защита населения Республики Беларусь от негативных, в том числе финансовых, последствий, вызванных участием в азартных играх, а также</w:t>
      </w:r>
      <w:r w:rsidR="00F208D0">
        <w:rPr>
          <w:sz w:val="30"/>
          <w:szCs w:val="30"/>
        </w:rPr>
        <w:t xml:space="preserve"> </w:t>
      </w:r>
      <w:r w:rsidR="00F208D0">
        <w:rPr>
          <w:rFonts w:eastAsiaTheme="minorHAnsi"/>
          <w:sz w:val="30"/>
          <w:szCs w:val="30"/>
          <w:lang w:eastAsia="en-US"/>
        </w:rPr>
        <w:t>обеспечение соответствия деятельности в сфере игорного бизнеса уровню мирового опыта.</w:t>
      </w:r>
    </w:p>
    <w:p w:rsidR="00E54CFC" w:rsidRDefault="00E54CFC" w:rsidP="00EB710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Игорный бизнес является социально опасным видом предпринимательской деятельности, которому присуще такое негативное явление как игровая зависимость (лудомания).</w:t>
      </w:r>
    </w:p>
    <w:p w:rsidR="00E54CFC" w:rsidRDefault="00E54CFC" w:rsidP="00E54CFC">
      <w:pPr>
        <w:ind w:firstLine="709"/>
        <w:jc w:val="both"/>
        <w:rPr>
          <w:sz w:val="30"/>
          <w:szCs w:val="30"/>
        </w:rPr>
      </w:pPr>
      <w:r w:rsidRPr="00E54CFC">
        <w:rPr>
          <w:sz w:val="30"/>
          <w:szCs w:val="30"/>
        </w:rPr>
        <w:t xml:space="preserve">Согласно исследованиям, проведенным государственным учреждением «Республиканский научно – практический центр психического здоровья» (далее – РНПЦ), одним из основных факторов риска, способствующих формированию зависимости от азартных игр является нравственная незрелость личности, что, в том числе выражается </w:t>
      </w:r>
      <w:r w:rsidRPr="00E54CFC">
        <w:rPr>
          <w:sz w:val="30"/>
          <w:szCs w:val="30"/>
        </w:rPr>
        <w:lastRenderedPageBreak/>
        <w:t xml:space="preserve">в отрицательном отношении к обучению, отсутствии социально – одобряемой активности и социально – значимых установок, неопределенностью в вопросах профессиональной ориентации отсутствием установок на трудовую деятельность, уходе от ответственных ситуаций и решений, утрате «перспектив жизни», путей развития своей личности. </w:t>
      </w:r>
    </w:p>
    <w:p w:rsidR="00EF30E0" w:rsidRDefault="00A92400" w:rsidP="00A92400">
      <w:pPr>
        <w:ind w:firstLine="709"/>
        <w:jc w:val="both"/>
        <w:rPr>
          <w:spacing w:val="-6"/>
          <w:sz w:val="30"/>
          <w:szCs w:val="30"/>
        </w:rPr>
      </w:pPr>
      <w:r w:rsidRPr="00A92400">
        <w:rPr>
          <w:sz w:val="30"/>
          <w:szCs w:val="30"/>
        </w:rPr>
        <w:t xml:space="preserve">Учитывая, что психологическое формирование личности завершается только к 21 году, в целях защиты молодого поколения и создания дополнительных условий для полноценного развития общества, </w:t>
      </w:r>
      <w:r w:rsidR="00EF30E0">
        <w:rPr>
          <w:rFonts w:eastAsiaTheme="minorHAnsi"/>
          <w:sz w:val="30"/>
          <w:szCs w:val="30"/>
          <w:lang w:eastAsia="en-US"/>
        </w:rPr>
        <w:t xml:space="preserve">во многих </w:t>
      </w:r>
      <w:r>
        <w:rPr>
          <w:rFonts w:eastAsiaTheme="minorHAnsi"/>
          <w:sz w:val="30"/>
          <w:szCs w:val="30"/>
          <w:lang w:eastAsia="en-US"/>
        </w:rPr>
        <w:t>странах мира</w:t>
      </w:r>
      <w:r w:rsidR="00EF30E0">
        <w:rPr>
          <w:rFonts w:eastAsiaTheme="minorHAnsi"/>
          <w:sz w:val="30"/>
          <w:szCs w:val="30"/>
          <w:lang w:eastAsia="en-US"/>
        </w:rPr>
        <w:t xml:space="preserve"> игорные заведения могут посещать только лица, достигшие 21 – летнего возраста и старше. Так, </w:t>
      </w:r>
      <w:r w:rsidR="00EF30E0" w:rsidRPr="00EF30E0">
        <w:rPr>
          <w:spacing w:val="-6"/>
          <w:sz w:val="30"/>
          <w:szCs w:val="30"/>
        </w:rPr>
        <w:t xml:space="preserve">в соответствии с пунктом 1 статьи 15 Закона Республики Казахстан «Об игорном бизнесе» гражданам Республики Казахстан в возрасте до 21 года запрещается участие в азартных играх и (или) пари. Аналогичный возрастной ценз для посещения игорных заведений введен в Литве (для посещения казино), Эстонии (за исключением игр на ловкость), Армении, Бельгии. В Греции существовал необычный возрастной порог для посещения игорных заведений – 23 года, сейчас снижен до 21 года, на территории  Северного Кипра доступ в казино ограничен 23 годами, на Мальте в казино имеют право входить только 25 – летние граждане Мальты. В двух землях Германии (Баварии и Баден Вюртемберг) также сохраняется возрастной ценз для посещения игорных заведений – 21 год.  </w:t>
      </w:r>
    </w:p>
    <w:p w:rsidR="000F3191" w:rsidRDefault="000F3191" w:rsidP="000F319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bCs/>
          <w:sz w:val="30"/>
          <w:szCs w:val="30"/>
          <w:lang w:eastAsia="en-US"/>
        </w:rPr>
        <w:t>Как правильно отмечено в Вашем обращении в</w:t>
      </w:r>
      <w:r w:rsidRPr="007974B5">
        <w:rPr>
          <w:rFonts w:eastAsiaTheme="minorHAnsi"/>
          <w:bCs/>
          <w:sz w:val="30"/>
          <w:szCs w:val="30"/>
          <w:lang w:eastAsia="en-US"/>
        </w:rPr>
        <w:t xml:space="preserve"> соответствии с пунктом 1 статьи 20 Гражданского кодекса Республики Беларусь (далее – ГК)</w:t>
      </w:r>
      <w:r w:rsidRPr="007974B5">
        <w:rPr>
          <w:rFonts w:eastAsiaTheme="minorHAnsi"/>
          <w:sz w:val="30"/>
          <w:szCs w:val="30"/>
          <w:lang w:eastAsia="en-US"/>
        </w:rPr>
        <w:t xml:space="preserve"> гражданская дееспособность возникает в полном объеме с наступлением совершеннолетия, то есть по достижении восемнадцатилетнего возраста. </w:t>
      </w:r>
      <w:r>
        <w:rPr>
          <w:rFonts w:eastAsiaTheme="minorHAnsi"/>
          <w:sz w:val="30"/>
          <w:szCs w:val="30"/>
          <w:lang w:eastAsia="en-US"/>
        </w:rPr>
        <w:t>Вместе с тем в законодательстве Республики Беларусь есть примеры, когда определенные права предоставляются только гражданам старше 18 лет. Так, д</w:t>
      </w:r>
      <w:r w:rsidRPr="00A92400">
        <w:rPr>
          <w:rFonts w:eastAsiaTheme="minorHAnsi"/>
          <w:sz w:val="30"/>
          <w:szCs w:val="30"/>
          <w:lang w:eastAsia="en-US"/>
        </w:rPr>
        <w:t>епутатом Палаты представителей может быть</w:t>
      </w:r>
      <w:r w:rsidR="00CE21E0">
        <w:rPr>
          <w:rFonts w:eastAsiaTheme="minorHAnsi"/>
          <w:sz w:val="30"/>
          <w:szCs w:val="30"/>
          <w:lang w:eastAsia="en-US"/>
        </w:rPr>
        <w:t xml:space="preserve"> только</w:t>
      </w:r>
      <w:r w:rsidRPr="00A92400">
        <w:rPr>
          <w:rFonts w:eastAsiaTheme="minorHAnsi"/>
          <w:sz w:val="30"/>
          <w:szCs w:val="30"/>
          <w:lang w:eastAsia="en-US"/>
        </w:rPr>
        <w:t xml:space="preserve"> гражданин Республики Беларусь, достигший 21 года (часть вторая статьи 1 Закона Республики Беларусь от 04.11.1998 № 196 – З)</w:t>
      </w:r>
      <w:r w:rsidR="00BB5301">
        <w:rPr>
          <w:rFonts w:eastAsiaTheme="minorHAnsi"/>
          <w:sz w:val="30"/>
          <w:szCs w:val="30"/>
          <w:lang w:eastAsia="en-US"/>
        </w:rPr>
        <w:t>, а П</w:t>
      </w:r>
      <w:r>
        <w:rPr>
          <w:rFonts w:eastAsiaTheme="minorHAnsi"/>
          <w:sz w:val="30"/>
          <w:szCs w:val="30"/>
          <w:lang w:eastAsia="en-US"/>
        </w:rPr>
        <w:t xml:space="preserve">резидентом нашей страны может быть избран только гражданин Республики Беларусь не моложе 35 лет (статья 80 Конституции Республики Беларусь). Кроме того, </w:t>
      </w:r>
      <w:r w:rsidRPr="007974B5">
        <w:rPr>
          <w:rFonts w:eastAsiaTheme="minorHAnsi"/>
          <w:sz w:val="30"/>
          <w:szCs w:val="30"/>
          <w:lang w:eastAsia="en-US"/>
        </w:rPr>
        <w:t xml:space="preserve">в силу пункта 2 статьи 20 ГК в случае, когда законодательством допускается эмансипация (несовершеннолетний, достигший шестнадцати лет, может быть объявлен полностью дееспособным, если он работает по трудовому договору (контракту) или с согласия родителей, усыновителей или попечителя занимается предпринимательской деятельностью) или </w:t>
      </w:r>
      <w:hyperlink r:id="rId8" w:history="1">
        <w:r w:rsidRPr="00BB5301">
          <w:rPr>
            <w:rFonts w:eastAsiaTheme="minorHAnsi"/>
            <w:sz w:val="30"/>
            <w:szCs w:val="30"/>
            <w:lang w:eastAsia="en-US"/>
          </w:rPr>
          <w:t>вступление в брак</w:t>
        </w:r>
      </w:hyperlink>
      <w:r w:rsidRPr="007974B5">
        <w:rPr>
          <w:rFonts w:eastAsiaTheme="minorHAnsi"/>
          <w:sz w:val="30"/>
          <w:szCs w:val="30"/>
          <w:lang w:eastAsia="en-US"/>
        </w:rPr>
        <w:t xml:space="preserve"> до достижения восемнадцати лет, гражданин, не достигший восемнадцатилетнего возраста, приобретает дееспособность в полном объеме соответственно с момента принятия решения об эмансипации или со времени вступления в брак.</w:t>
      </w:r>
    </w:p>
    <w:p w:rsidR="0002619F" w:rsidRDefault="0002619F" w:rsidP="000F319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lastRenderedPageBreak/>
        <w:t xml:space="preserve">Таким образом, наступление полной дееспособности в соответствии с гражданским законодательством  </w:t>
      </w:r>
      <w:r w:rsidR="001432EB">
        <w:rPr>
          <w:rFonts w:eastAsiaTheme="minorHAnsi"/>
          <w:sz w:val="30"/>
          <w:szCs w:val="30"/>
          <w:lang w:eastAsia="en-US"/>
        </w:rPr>
        <w:t>не может рассматриваться в качестве основания для предоставления гражданину права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1432EB">
        <w:rPr>
          <w:rFonts w:eastAsiaTheme="minorHAnsi"/>
          <w:sz w:val="30"/>
          <w:szCs w:val="30"/>
          <w:lang w:eastAsia="en-US"/>
        </w:rPr>
        <w:t>посещать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="001432EB">
        <w:rPr>
          <w:rFonts w:eastAsiaTheme="minorHAnsi"/>
          <w:sz w:val="30"/>
          <w:szCs w:val="30"/>
          <w:lang w:eastAsia="en-US"/>
        </w:rPr>
        <w:t>игорные заведения</w:t>
      </w:r>
      <w:r w:rsidR="002A4B19">
        <w:rPr>
          <w:rFonts w:eastAsiaTheme="minorHAnsi"/>
          <w:sz w:val="30"/>
          <w:szCs w:val="30"/>
          <w:lang w:eastAsia="en-US"/>
        </w:rPr>
        <w:t>, виртуальные игорные заведения и участвовать в азартных играх</w:t>
      </w:r>
      <w:r>
        <w:rPr>
          <w:rFonts w:eastAsiaTheme="minorHAnsi"/>
          <w:sz w:val="30"/>
          <w:szCs w:val="30"/>
          <w:lang w:eastAsia="en-US"/>
        </w:rPr>
        <w:t>.</w:t>
      </w:r>
    </w:p>
    <w:p w:rsidR="00FD3D2E" w:rsidRPr="00FD3D2E" w:rsidRDefault="002C7A56" w:rsidP="002C7A5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 xml:space="preserve">Возрастной ценз </w:t>
      </w:r>
      <w:r>
        <w:rPr>
          <w:rStyle w:val="a5"/>
          <w:sz w:val="30"/>
          <w:szCs w:val="30"/>
        </w:rPr>
        <w:t>для посещения игорных заведений, виртуальных игорных заведений и участия в азартных играх увеличен  с 18 лет до 21 года в соответствии  с нормами Указа Президента Республики Беларусь от 7 августа 2018 г. № 305 «О совершенствовании правового регулирования игорного бизнеса»</w:t>
      </w:r>
      <w:r w:rsidR="00C508D0">
        <w:rPr>
          <w:rStyle w:val="a5"/>
          <w:sz w:val="30"/>
          <w:szCs w:val="30"/>
        </w:rPr>
        <w:t xml:space="preserve"> (далее – Указ № 305)</w:t>
      </w:r>
      <w:r>
        <w:rPr>
          <w:rStyle w:val="a5"/>
          <w:sz w:val="30"/>
          <w:szCs w:val="30"/>
        </w:rPr>
        <w:t xml:space="preserve"> в целях </w:t>
      </w:r>
      <w:r w:rsidRPr="00725D9D">
        <w:rPr>
          <w:rFonts w:eastAsiaTheme="minorHAnsi"/>
          <w:sz w:val="30"/>
          <w:szCs w:val="30"/>
          <w:lang w:eastAsia="en-US"/>
        </w:rPr>
        <w:t xml:space="preserve">нивелирования </w:t>
      </w:r>
      <w:r w:rsidRPr="00725D9D">
        <w:rPr>
          <w:rStyle w:val="a5"/>
          <w:sz w:val="30"/>
          <w:szCs w:val="30"/>
        </w:rPr>
        <w:t>негативного воздействия азартных игр на граждан</w:t>
      </w:r>
      <w:r>
        <w:rPr>
          <w:rStyle w:val="a5"/>
          <w:sz w:val="30"/>
          <w:szCs w:val="30"/>
        </w:rPr>
        <w:t>, что полностью согласуется с обозначенными задачами, определенными Концепцией</w:t>
      </w:r>
      <w:r w:rsidR="00C508D0">
        <w:rPr>
          <w:rStyle w:val="a5"/>
          <w:sz w:val="30"/>
          <w:szCs w:val="30"/>
        </w:rPr>
        <w:t xml:space="preserve"> и соответствует мировому опыту</w:t>
      </w:r>
      <w:r>
        <w:rPr>
          <w:rStyle w:val="a5"/>
          <w:sz w:val="30"/>
          <w:szCs w:val="30"/>
        </w:rPr>
        <w:t xml:space="preserve">. </w:t>
      </w:r>
      <w:r w:rsidR="00FD3D2E">
        <w:rPr>
          <w:rFonts w:eastAsiaTheme="minorHAnsi"/>
          <w:sz w:val="30"/>
          <w:szCs w:val="30"/>
          <w:lang w:eastAsia="en-US"/>
        </w:rPr>
        <w:t xml:space="preserve">Во исполнение Директивы Президента Республики Беларусь т 31 декабря 2010 г. № 4 «О развитии предпринимательства и стимулировании деловой активности» вышеуказанный проект Указа размещался для общественного обсуждения на официальном сайте МНС </w:t>
      </w:r>
      <w:hyperlink r:id="rId9" w:history="1">
        <w:r w:rsidR="00FD3D2E" w:rsidRPr="00FD3D2E">
          <w:rPr>
            <w:rStyle w:val="a8"/>
            <w:rFonts w:eastAsiaTheme="minorHAnsi"/>
            <w:sz w:val="30"/>
            <w:szCs w:val="30"/>
            <w:u w:val="none"/>
            <w:lang w:eastAsia="en-US"/>
          </w:rPr>
          <w:t>http://www.nalog.gov.by/ru/</w:t>
        </w:r>
      </w:hyperlink>
      <w:r w:rsidR="00FD3D2E" w:rsidRPr="00FD3D2E">
        <w:rPr>
          <w:rFonts w:eastAsiaTheme="minorHAnsi"/>
          <w:sz w:val="30"/>
          <w:szCs w:val="30"/>
          <w:lang w:eastAsia="en-US"/>
        </w:rPr>
        <w:t>.</w:t>
      </w:r>
      <w:r w:rsidR="00FD3D2E">
        <w:rPr>
          <w:rFonts w:eastAsiaTheme="minorHAnsi"/>
          <w:sz w:val="30"/>
          <w:szCs w:val="30"/>
          <w:lang w:eastAsia="en-US"/>
        </w:rPr>
        <w:t xml:space="preserve"> Однако </w:t>
      </w:r>
      <w:r w:rsidR="00FD3D2E">
        <w:rPr>
          <w:sz w:val="30"/>
          <w:szCs w:val="30"/>
        </w:rPr>
        <w:t>в</w:t>
      </w:r>
      <w:r w:rsidR="00FD3D2E" w:rsidRPr="00FD3D2E">
        <w:rPr>
          <w:sz w:val="30"/>
          <w:szCs w:val="30"/>
        </w:rPr>
        <w:t xml:space="preserve"> ходе</w:t>
      </w:r>
      <w:r w:rsidR="00FD3D2E">
        <w:rPr>
          <w:sz w:val="30"/>
          <w:szCs w:val="30"/>
        </w:rPr>
        <w:t xml:space="preserve"> такого</w:t>
      </w:r>
      <w:r w:rsidR="00FD3D2E" w:rsidRPr="00FD3D2E">
        <w:rPr>
          <w:sz w:val="30"/>
          <w:szCs w:val="30"/>
        </w:rPr>
        <w:t xml:space="preserve"> общественного обсуждения проекта Указа замечания</w:t>
      </w:r>
      <w:r w:rsidR="00C508D0">
        <w:rPr>
          <w:sz w:val="30"/>
          <w:szCs w:val="30"/>
        </w:rPr>
        <w:t xml:space="preserve"> и предложения</w:t>
      </w:r>
      <w:r w:rsidR="00FD3D2E">
        <w:rPr>
          <w:sz w:val="30"/>
          <w:szCs w:val="30"/>
        </w:rPr>
        <w:t xml:space="preserve"> </w:t>
      </w:r>
      <w:r w:rsidR="00C508D0">
        <w:rPr>
          <w:sz w:val="30"/>
          <w:szCs w:val="30"/>
        </w:rPr>
        <w:t>по рассматриваемым нормам Указа № 305</w:t>
      </w:r>
      <w:r w:rsidR="00FD3D2E" w:rsidRPr="00FD3D2E">
        <w:rPr>
          <w:sz w:val="30"/>
          <w:szCs w:val="30"/>
        </w:rPr>
        <w:t xml:space="preserve"> со стороны физических лиц не поступали.</w:t>
      </w:r>
    </w:p>
    <w:p w:rsidR="00FD3D2E" w:rsidRDefault="002C7A56" w:rsidP="000F319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На основании изложенного, Ваше </w:t>
      </w:r>
      <w:r w:rsidR="00C508D0">
        <w:rPr>
          <w:rFonts w:eastAsiaTheme="minorHAnsi"/>
          <w:sz w:val="30"/>
          <w:szCs w:val="30"/>
          <w:lang w:eastAsia="en-US"/>
        </w:rPr>
        <w:t>предложение</w:t>
      </w:r>
      <w:r>
        <w:rPr>
          <w:rFonts w:eastAsiaTheme="minorHAnsi"/>
          <w:sz w:val="30"/>
          <w:szCs w:val="30"/>
          <w:lang w:eastAsia="en-US"/>
        </w:rPr>
        <w:t xml:space="preserve"> в части отказа от увеличения возрастного ценза для посещения игорных заведений, виртуальных игорных заведений</w:t>
      </w:r>
      <w:r w:rsidR="00C508D0">
        <w:rPr>
          <w:rFonts w:eastAsiaTheme="minorHAnsi"/>
          <w:sz w:val="30"/>
          <w:szCs w:val="30"/>
          <w:lang w:eastAsia="en-US"/>
        </w:rPr>
        <w:t xml:space="preserve"> и участия в азартных играх с 18 лет до 21 года МНС, как органом, реализующим государственную политику в сфере игорного бизнеса, не поддерживается.</w:t>
      </w:r>
    </w:p>
    <w:p w:rsidR="00FD3D2E" w:rsidRDefault="00C508D0" w:rsidP="000F3191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sz w:val="30"/>
          <w:szCs w:val="30"/>
        </w:rPr>
        <w:t xml:space="preserve">В соответствии с пунктом 6 статьи 20 Закона Республики Беларусь от 18 июля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30"/>
            <w:szCs w:val="30"/>
          </w:rPr>
          <w:t>2011 г</w:t>
        </w:r>
      </w:smartTag>
      <w:r>
        <w:rPr>
          <w:sz w:val="30"/>
          <w:szCs w:val="30"/>
        </w:rPr>
        <w:t>. № 300-З «Об обраще</w:t>
      </w:r>
      <w:r w:rsidR="001A3704">
        <w:rPr>
          <w:sz w:val="30"/>
          <w:szCs w:val="30"/>
        </w:rPr>
        <w:t xml:space="preserve">ниях граждан и юридических лиц» настоящий </w:t>
      </w:r>
      <w:r>
        <w:rPr>
          <w:sz w:val="30"/>
          <w:szCs w:val="30"/>
        </w:rPr>
        <w:t>ответ на Ваше обращение может быть обжалован в суд.</w:t>
      </w:r>
    </w:p>
    <w:p w:rsidR="00FD3D2E" w:rsidRDefault="00FD3D2E" w:rsidP="002A4B19">
      <w:pPr>
        <w:spacing w:line="360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</w:p>
    <w:p w:rsidR="00EB6C54" w:rsidRPr="00164CC8" w:rsidRDefault="00A01415" w:rsidP="004329C1">
      <w:pPr>
        <w:pStyle w:val="a6"/>
        <w:tabs>
          <w:tab w:val="left" w:pos="6804"/>
        </w:tabs>
        <w:suppressAutoHyphens/>
        <w:spacing w:after="0"/>
        <w:rPr>
          <w:sz w:val="30"/>
          <w:szCs w:val="30"/>
        </w:rPr>
      </w:pPr>
      <w:r>
        <w:rPr>
          <w:sz w:val="30"/>
          <w:szCs w:val="30"/>
        </w:rPr>
        <w:t>Заместитель Министра</w:t>
      </w:r>
      <w:r>
        <w:rPr>
          <w:sz w:val="30"/>
          <w:szCs w:val="30"/>
        </w:rPr>
        <w:tab/>
      </w:r>
      <w:r w:rsidR="00EE5BB9">
        <w:rPr>
          <w:sz w:val="30"/>
          <w:szCs w:val="30"/>
        </w:rPr>
        <w:t>В.В.Муквич</w:t>
      </w:r>
    </w:p>
    <w:p w:rsidR="005F5756" w:rsidRPr="00887D92" w:rsidRDefault="005F5756" w:rsidP="005F5756">
      <w:pPr>
        <w:pStyle w:val="a6"/>
        <w:tabs>
          <w:tab w:val="left" w:pos="6804"/>
        </w:tabs>
        <w:suppressAutoHyphens/>
        <w:spacing w:after="0"/>
        <w:rPr>
          <w:sz w:val="30"/>
          <w:szCs w:val="30"/>
        </w:rPr>
      </w:pPr>
      <w:r>
        <w:rPr>
          <w:sz w:val="30"/>
          <w:szCs w:val="30"/>
        </w:rPr>
        <w:tab/>
      </w: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C20CB8" w:rsidRDefault="00C20CB8" w:rsidP="005F5756">
      <w:pPr>
        <w:pStyle w:val="a6"/>
        <w:spacing w:after="0" w:line="180" w:lineRule="exact"/>
        <w:rPr>
          <w:sz w:val="18"/>
          <w:szCs w:val="18"/>
        </w:rPr>
      </w:pPr>
    </w:p>
    <w:p w:rsidR="005F5756" w:rsidRDefault="005F5756" w:rsidP="005F5756">
      <w:pPr>
        <w:pStyle w:val="a6"/>
        <w:spacing w:after="0" w:line="180" w:lineRule="exact"/>
        <w:rPr>
          <w:sz w:val="18"/>
          <w:szCs w:val="18"/>
        </w:rPr>
      </w:pPr>
      <w:r>
        <w:rPr>
          <w:sz w:val="18"/>
          <w:szCs w:val="18"/>
        </w:rPr>
        <w:t xml:space="preserve">8-3 </w:t>
      </w:r>
      <w:r w:rsidR="002A4B19">
        <w:rPr>
          <w:sz w:val="18"/>
          <w:szCs w:val="18"/>
        </w:rPr>
        <w:t>Невинская 229 79 80</w:t>
      </w:r>
    </w:p>
    <w:p w:rsidR="00D001EE" w:rsidRDefault="002A4B19" w:rsidP="005F5756">
      <w:pPr>
        <w:pStyle w:val="a6"/>
        <w:spacing w:after="0" w:line="180" w:lineRule="exact"/>
      </w:pPr>
      <w:r>
        <w:rPr>
          <w:sz w:val="18"/>
          <w:szCs w:val="18"/>
        </w:rPr>
        <w:t>25</w:t>
      </w:r>
      <w:r w:rsidR="008D6B2E">
        <w:rPr>
          <w:sz w:val="18"/>
          <w:szCs w:val="18"/>
        </w:rPr>
        <w:t>.04.2019</w:t>
      </w:r>
      <w:r w:rsidR="005F5756">
        <w:rPr>
          <w:sz w:val="18"/>
          <w:szCs w:val="18"/>
        </w:rPr>
        <w:t xml:space="preserve"> </w:t>
      </w:r>
      <w:r w:rsidR="005F5756">
        <w:rPr>
          <w:sz w:val="18"/>
          <w:szCs w:val="18"/>
          <w:lang w:val="en-US"/>
        </w:rPr>
        <w:t>D</w:t>
      </w:r>
      <w:r w:rsidR="005E6570">
        <w:rPr>
          <w:sz w:val="18"/>
          <w:szCs w:val="18"/>
        </w:rPr>
        <w:t>:/Обращения/</w:t>
      </w:r>
    </w:p>
    <w:sectPr w:rsidR="00D001EE" w:rsidSect="008D6B2E">
      <w:headerReference w:type="even" r:id="rId10"/>
      <w:headerReference w:type="default" r:id="rId11"/>
      <w:pgSz w:w="11906" w:h="16838"/>
      <w:pgMar w:top="1134" w:right="567" w:bottom="709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CDA" w:rsidRDefault="003C3CDA">
      <w:r>
        <w:separator/>
      </w:r>
    </w:p>
  </w:endnote>
  <w:endnote w:type="continuationSeparator" w:id="0">
    <w:p w:rsidR="003C3CDA" w:rsidRDefault="003C3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CDA" w:rsidRDefault="003C3CDA">
      <w:r>
        <w:separator/>
      </w:r>
    </w:p>
  </w:footnote>
  <w:footnote w:type="continuationSeparator" w:id="0">
    <w:p w:rsidR="003C3CDA" w:rsidRDefault="003C3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80" w:rsidRDefault="00B27C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57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5180" w:rsidRDefault="003C3C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80" w:rsidRPr="00E54CFC" w:rsidRDefault="00B27CD8">
    <w:pPr>
      <w:pStyle w:val="a3"/>
      <w:framePr w:wrap="around" w:vAnchor="text" w:hAnchor="margin" w:xAlign="center" w:y="1"/>
      <w:rPr>
        <w:rStyle w:val="a5"/>
        <w:sz w:val="30"/>
        <w:szCs w:val="30"/>
      </w:rPr>
    </w:pPr>
    <w:r w:rsidRPr="00E54CFC">
      <w:rPr>
        <w:rStyle w:val="a5"/>
        <w:sz w:val="30"/>
        <w:szCs w:val="30"/>
      </w:rPr>
      <w:fldChar w:fldCharType="begin"/>
    </w:r>
    <w:r w:rsidR="005F5756" w:rsidRPr="00E54CFC">
      <w:rPr>
        <w:rStyle w:val="a5"/>
        <w:sz w:val="30"/>
        <w:szCs w:val="30"/>
      </w:rPr>
      <w:instrText xml:space="preserve">PAGE  </w:instrText>
    </w:r>
    <w:r w:rsidRPr="00E54CFC">
      <w:rPr>
        <w:rStyle w:val="a5"/>
        <w:sz w:val="30"/>
        <w:szCs w:val="30"/>
      </w:rPr>
      <w:fldChar w:fldCharType="separate"/>
    </w:r>
    <w:r w:rsidR="00763616">
      <w:rPr>
        <w:rStyle w:val="a5"/>
        <w:noProof/>
        <w:sz w:val="30"/>
        <w:szCs w:val="30"/>
      </w:rPr>
      <w:t>3</w:t>
    </w:r>
    <w:r w:rsidRPr="00E54CFC">
      <w:rPr>
        <w:rStyle w:val="a5"/>
        <w:sz w:val="30"/>
        <w:szCs w:val="30"/>
      </w:rPr>
      <w:fldChar w:fldCharType="end"/>
    </w:r>
  </w:p>
  <w:p w:rsidR="009F5180" w:rsidRDefault="003C3C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756"/>
    <w:rsid w:val="00010015"/>
    <w:rsid w:val="00025F45"/>
    <w:rsid w:val="0002619F"/>
    <w:rsid w:val="00031491"/>
    <w:rsid w:val="00042312"/>
    <w:rsid w:val="000541BC"/>
    <w:rsid w:val="00055EBD"/>
    <w:rsid w:val="000602C2"/>
    <w:rsid w:val="000614BB"/>
    <w:rsid w:val="00067C41"/>
    <w:rsid w:val="000701F1"/>
    <w:rsid w:val="000754E6"/>
    <w:rsid w:val="0008150E"/>
    <w:rsid w:val="00081908"/>
    <w:rsid w:val="000911A3"/>
    <w:rsid w:val="000914D6"/>
    <w:rsid w:val="000B31CB"/>
    <w:rsid w:val="000B332B"/>
    <w:rsid w:val="000B3423"/>
    <w:rsid w:val="000B7071"/>
    <w:rsid w:val="000C4559"/>
    <w:rsid w:val="000C4E48"/>
    <w:rsid w:val="000D2364"/>
    <w:rsid w:val="000D2ACF"/>
    <w:rsid w:val="000F3191"/>
    <w:rsid w:val="000F6659"/>
    <w:rsid w:val="001246E4"/>
    <w:rsid w:val="00127A14"/>
    <w:rsid w:val="00131CA8"/>
    <w:rsid w:val="0013666B"/>
    <w:rsid w:val="00141DE7"/>
    <w:rsid w:val="001432EB"/>
    <w:rsid w:val="00145437"/>
    <w:rsid w:val="001512F8"/>
    <w:rsid w:val="00153923"/>
    <w:rsid w:val="00154FBB"/>
    <w:rsid w:val="00157B54"/>
    <w:rsid w:val="00164CC8"/>
    <w:rsid w:val="00167789"/>
    <w:rsid w:val="001749AB"/>
    <w:rsid w:val="00177093"/>
    <w:rsid w:val="00187EF4"/>
    <w:rsid w:val="001A3704"/>
    <w:rsid w:val="001A5D03"/>
    <w:rsid w:val="001B322D"/>
    <w:rsid w:val="001C021C"/>
    <w:rsid w:val="001C4990"/>
    <w:rsid w:val="001C7729"/>
    <w:rsid w:val="001C7BCC"/>
    <w:rsid w:val="001D0954"/>
    <w:rsid w:val="001D0963"/>
    <w:rsid w:val="001D17AE"/>
    <w:rsid w:val="001E568C"/>
    <w:rsid w:val="001E59D0"/>
    <w:rsid w:val="001F5223"/>
    <w:rsid w:val="00200709"/>
    <w:rsid w:val="00200A8C"/>
    <w:rsid w:val="00217D34"/>
    <w:rsid w:val="00223668"/>
    <w:rsid w:val="00231614"/>
    <w:rsid w:val="0023462B"/>
    <w:rsid w:val="00234C41"/>
    <w:rsid w:val="00243529"/>
    <w:rsid w:val="002607F5"/>
    <w:rsid w:val="00263135"/>
    <w:rsid w:val="00263D23"/>
    <w:rsid w:val="00264E0C"/>
    <w:rsid w:val="002822F4"/>
    <w:rsid w:val="002A1505"/>
    <w:rsid w:val="002A4407"/>
    <w:rsid w:val="002A4B19"/>
    <w:rsid w:val="002A7073"/>
    <w:rsid w:val="002B37EC"/>
    <w:rsid w:val="002B4BC5"/>
    <w:rsid w:val="002B6C8F"/>
    <w:rsid w:val="002C604D"/>
    <w:rsid w:val="002C7A56"/>
    <w:rsid w:val="003043ED"/>
    <w:rsid w:val="003078C7"/>
    <w:rsid w:val="003159E2"/>
    <w:rsid w:val="00326D6F"/>
    <w:rsid w:val="003311A1"/>
    <w:rsid w:val="00351C86"/>
    <w:rsid w:val="00352C4A"/>
    <w:rsid w:val="00372576"/>
    <w:rsid w:val="00374865"/>
    <w:rsid w:val="00376AD0"/>
    <w:rsid w:val="00382434"/>
    <w:rsid w:val="0038504B"/>
    <w:rsid w:val="00394BE9"/>
    <w:rsid w:val="003A60B7"/>
    <w:rsid w:val="003C0AD9"/>
    <w:rsid w:val="003C3CDA"/>
    <w:rsid w:val="003D17F3"/>
    <w:rsid w:val="003E0105"/>
    <w:rsid w:val="003E7172"/>
    <w:rsid w:val="003F3E5B"/>
    <w:rsid w:val="003F773E"/>
    <w:rsid w:val="0040546D"/>
    <w:rsid w:val="0040699A"/>
    <w:rsid w:val="00406D45"/>
    <w:rsid w:val="0041152D"/>
    <w:rsid w:val="004131AE"/>
    <w:rsid w:val="004201D4"/>
    <w:rsid w:val="0042308E"/>
    <w:rsid w:val="004273F8"/>
    <w:rsid w:val="004311AC"/>
    <w:rsid w:val="004324B5"/>
    <w:rsid w:val="004329C1"/>
    <w:rsid w:val="00434BD4"/>
    <w:rsid w:val="00446E94"/>
    <w:rsid w:val="00450A2B"/>
    <w:rsid w:val="00473FA4"/>
    <w:rsid w:val="00481C17"/>
    <w:rsid w:val="0048458F"/>
    <w:rsid w:val="004874C4"/>
    <w:rsid w:val="00487D66"/>
    <w:rsid w:val="00494287"/>
    <w:rsid w:val="004A3236"/>
    <w:rsid w:val="004B621C"/>
    <w:rsid w:val="004D0C5F"/>
    <w:rsid w:val="004D30CF"/>
    <w:rsid w:val="004D7C5F"/>
    <w:rsid w:val="004F1CAC"/>
    <w:rsid w:val="004F434C"/>
    <w:rsid w:val="005247D4"/>
    <w:rsid w:val="00551123"/>
    <w:rsid w:val="00566B43"/>
    <w:rsid w:val="00575456"/>
    <w:rsid w:val="005759A3"/>
    <w:rsid w:val="005809C5"/>
    <w:rsid w:val="00596546"/>
    <w:rsid w:val="0059757D"/>
    <w:rsid w:val="005A1EE7"/>
    <w:rsid w:val="005B2B60"/>
    <w:rsid w:val="005B339E"/>
    <w:rsid w:val="005B59DE"/>
    <w:rsid w:val="005C031F"/>
    <w:rsid w:val="005D63A7"/>
    <w:rsid w:val="005E3F75"/>
    <w:rsid w:val="005E6570"/>
    <w:rsid w:val="005F14F5"/>
    <w:rsid w:val="005F5756"/>
    <w:rsid w:val="00607DD8"/>
    <w:rsid w:val="00627B12"/>
    <w:rsid w:val="006444A3"/>
    <w:rsid w:val="0068151F"/>
    <w:rsid w:val="00684502"/>
    <w:rsid w:val="00684C69"/>
    <w:rsid w:val="00692D4A"/>
    <w:rsid w:val="00697D49"/>
    <w:rsid w:val="006A5793"/>
    <w:rsid w:val="006B27DE"/>
    <w:rsid w:val="006C0B32"/>
    <w:rsid w:val="006C10D6"/>
    <w:rsid w:val="006C155D"/>
    <w:rsid w:val="006D33A2"/>
    <w:rsid w:val="006D4485"/>
    <w:rsid w:val="006E17F7"/>
    <w:rsid w:val="006E4F7A"/>
    <w:rsid w:val="006E5959"/>
    <w:rsid w:val="006F11F9"/>
    <w:rsid w:val="006F4629"/>
    <w:rsid w:val="007078A9"/>
    <w:rsid w:val="00711757"/>
    <w:rsid w:val="007143FE"/>
    <w:rsid w:val="00725D9D"/>
    <w:rsid w:val="00742E05"/>
    <w:rsid w:val="00746AEE"/>
    <w:rsid w:val="00747EB9"/>
    <w:rsid w:val="007514B8"/>
    <w:rsid w:val="00752A0D"/>
    <w:rsid w:val="00763616"/>
    <w:rsid w:val="0077075C"/>
    <w:rsid w:val="00774EE4"/>
    <w:rsid w:val="007971DE"/>
    <w:rsid w:val="007971EE"/>
    <w:rsid w:val="007974B5"/>
    <w:rsid w:val="007A0C58"/>
    <w:rsid w:val="007A45BB"/>
    <w:rsid w:val="007C0848"/>
    <w:rsid w:val="007D43D9"/>
    <w:rsid w:val="007D6DE8"/>
    <w:rsid w:val="007E50D4"/>
    <w:rsid w:val="007F48A9"/>
    <w:rsid w:val="00810F8B"/>
    <w:rsid w:val="00811329"/>
    <w:rsid w:val="008328F3"/>
    <w:rsid w:val="008449F0"/>
    <w:rsid w:val="00847804"/>
    <w:rsid w:val="00855692"/>
    <w:rsid w:val="00872F96"/>
    <w:rsid w:val="0088189A"/>
    <w:rsid w:val="008818CF"/>
    <w:rsid w:val="00894EB1"/>
    <w:rsid w:val="0089594F"/>
    <w:rsid w:val="00896FAC"/>
    <w:rsid w:val="00897EBC"/>
    <w:rsid w:val="008A0DB4"/>
    <w:rsid w:val="008A7252"/>
    <w:rsid w:val="008A7F8D"/>
    <w:rsid w:val="008D0AA4"/>
    <w:rsid w:val="008D4EBE"/>
    <w:rsid w:val="008D6B2E"/>
    <w:rsid w:val="008F02A1"/>
    <w:rsid w:val="008F4958"/>
    <w:rsid w:val="00907082"/>
    <w:rsid w:val="0091399A"/>
    <w:rsid w:val="00917D0A"/>
    <w:rsid w:val="009416D6"/>
    <w:rsid w:val="0094467A"/>
    <w:rsid w:val="009466E6"/>
    <w:rsid w:val="00951ED4"/>
    <w:rsid w:val="00955E1A"/>
    <w:rsid w:val="00957762"/>
    <w:rsid w:val="00962CCD"/>
    <w:rsid w:val="00971620"/>
    <w:rsid w:val="0097191F"/>
    <w:rsid w:val="00972639"/>
    <w:rsid w:val="009851C0"/>
    <w:rsid w:val="009914BE"/>
    <w:rsid w:val="0099378D"/>
    <w:rsid w:val="00994CEA"/>
    <w:rsid w:val="00996B65"/>
    <w:rsid w:val="009A7D38"/>
    <w:rsid w:val="009B5130"/>
    <w:rsid w:val="009C57BA"/>
    <w:rsid w:val="009D1F16"/>
    <w:rsid w:val="009D7A5A"/>
    <w:rsid w:val="009E7B6D"/>
    <w:rsid w:val="009F00FD"/>
    <w:rsid w:val="00A01415"/>
    <w:rsid w:val="00A02A39"/>
    <w:rsid w:val="00A037E4"/>
    <w:rsid w:val="00A0603E"/>
    <w:rsid w:val="00A0720E"/>
    <w:rsid w:val="00A145D2"/>
    <w:rsid w:val="00A1656D"/>
    <w:rsid w:val="00A23B38"/>
    <w:rsid w:val="00A262B0"/>
    <w:rsid w:val="00A30436"/>
    <w:rsid w:val="00A50167"/>
    <w:rsid w:val="00A64946"/>
    <w:rsid w:val="00A6733C"/>
    <w:rsid w:val="00A82A2F"/>
    <w:rsid w:val="00A866BE"/>
    <w:rsid w:val="00A92400"/>
    <w:rsid w:val="00AA0E4C"/>
    <w:rsid w:val="00AA2FD9"/>
    <w:rsid w:val="00AA7239"/>
    <w:rsid w:val="00AB113A"/>
    <w:rsid w:val="00AB5A46"/>
    <w:rsid w:val="00AC01DB"/>
    <w:rsid w:val="00AC1C11"/>
    <w:rsid w:val="00AC4F6C"/>
    <w:rsid w:val="00AD4520"/>
    <w:rsid w:val="00AE1284"/>
    <w:rsid w:val="00B00073"/>
    <w:rsid w:val="00B27CD8"/>
    <w:rsid w:val="00B31F41"/>
    <w:rsid w:val="00B41978"/>
    <w:rsid w:val="00B42206"/>
    <w:rsid w:val="00B42CA2"/>
    <w:rsid w:val="00B47609"/>
    <w:rsid w:val="00B54940"/>
    <w:rsid w:val="00B6523F"/>
    <w:rsid w:val="00B76BF7"/>
    <w:rsid w:val="00B83E73"/>
    <w:rsid w:val="00B91B64"/>
    <w:rsid w:val="00BA230E"/>
    <w:rsid w:val="00BB03F3"/>
    <w:rsid w:val="00BB491D"/>
    <w:rsid w:val="00BB5301"/>
    <w:rsid w:val="00BC4665"/>
    <w:rsid w:val="00BC5EDB"/>
    <w:rsid w:val="00BC663B"/>
    <w:rsid w:val="00BD2E56"/>
    <w:rsid w:val="00BE17DE"/>
    <w:rsid w:val="00BE3647"/>
    <w:rsid w:val="00BE6A62"/>
    <w:rsid w:val="00BF710F"/>
    <w:rsid w:val="00C114F9"/>
    <w:rsid w:val="00C16B39"/>
    <w:rsid w:val="00C20CB8"/>
    <w:rsid w:val="00C36A57"/>
    <w:rsid w:val="00C40BF1"/>
    <w:rsid w:val="00C43157"/>
    <w:rsid w:val="00C508D0"/>
    <w:rsid w:val="00C61805"/>
    <w:rsid w:val="00C631EA"/>
    <w:rsid w:val="00C7696B"/>
    <w:rsid w:val="00C81613"/>
    <w:rsid w:val="00C86476"/>
    <w:rsid w:val="00C905D0"/>
    <w:rsid w:val="00C9325B"/>
    <w:rsid w:val="00CA44FB"/>
    <w:rsid w:val="00CB1E18"/>
    <w:rsid w:val="00CB58EE"/>
    <w:rsid w:val="00CB6CCB"/>
    <w:rsid w:val="00CD49CA"/>
    <w:rsid w:val="00CE21E0"/>
    <w:rsid w:val="00CF32FF"/>
    <w:rsid w:val="00CF43DD"/>
    <w:rsid w:val="00CF7364"/>
    <w:rsid w:val="00D001EE"/>
    <w:rsid w:val="00D048EA"/>
    <w:rsid w:val="00D1241E"/>
    <w:rsid w:val="00D15033"/>
    <w:rsid w:val="00D22F54"/>
    <w:rsid w:val="00D46002"/>
    <w:rsid w:val="00D53ED4"/>
    <w:rsid w:val="00D556D7"/>
    <w:rsid w:val="00D56327"/>
    <w:rsid w:val="00D619ED"/>
    <w:rsid w:val="00D6225E"/>
    <w:rsid w:val="00D62D92"/>
    <w:rsid w:val="00D766F0"/>
    <w:rsid w:val="00D829AA"/>
    <w:rsid w:val="00D84DB7"/>
    <w:rsid w:val="00DB3C34"/>
    <w:rsid w:val="00DB3C79"/>
    <w:rsid w:val="00DB5AD3"/>
    <w:rsid w:val="00DD526B"/>
    <w:rsid w:val="00DD7185"/>
    <w:rsid w:val="00DD73B6"/>
    <w:rsid w:val="00DE0CEC"/>
    <w:rsid w:val="00DE1037"/>
    <w:rsid w:val="00DE64AD"/>
    <w:rsid w:val="00DF7728"/>
    <w:rsid w:val="00E01786"/>
    <w:rsid w:val="00E034D0"/>
    <w:rsid w:val="00E046C6"/>
    <w:rsid w:val="00E116C1"/>
    <w:rsid w:val="00E125DB"/>
    <w:rsid w:val="00E17F29"/>
    <w:rsid w:val="00E21872"/>
    <w:rsid w:val="00E33CB9"/>
    <w:rsid w:val="00E34329"/>
    <w:rsid w:val="00E470B1"/>
    <w:rsid w:val="00E5072F"/>
    <w:rsid w:val="00E51AB7"/>
    <w:rsid w:val="00E52702"/>
    <w:rsid w:val="00E54CFC"/>
    <w:rsid w:val="00E6504D"/>
    <w:rsid w:val="00E751CA"/>
    <w:rsid w:val="00E9096F"/>
    <w:rsid w:val="00E90EA9"/>
    <w:rsid w:val="00E92F02"/>
    <w:rsid w:val="00EA2945"/>
    <w:rsid w:val="00EA6315"/>
    <w:rsid w:val="00EB03B9"/>
    <w:rsid w:val="00EB3A52"/>
    <w:rsid w:val="00EB6C54"/>
    <w:rsid w:val="00EB7100"/>
    <w:rsid w:val="00EC1C19"/>
    <w:rsid w:val="00ED2A73"/>
    <w:rsid w:val="00ED3D6D"/>
    <w:rsid w:val="00ED6532"/>
    <w:rsid w:val="00ED695D"/>
    <w:rsid w:val="00EE5BB9"/>
    <w:rsid w:val="00EE76E5"/>
    <w:rsid w:val="00EE780E"/>
    <w:rsid w:val="00EF30E0"/>
    <w:rsid w:val="00EF5765"/>
    <w:rsid w:val="00F11EDE"/>
    <w:rsid w:val="00F1308E"/>
    <w:rsid w:val="00F14D7E"/>
    <w:rsid w:val="00F17AF5"/>
    <w:rsid w:val="00F208D0"/>
    <w:rsid w:val="00F20CA5"/>
    <w:rsid w:val="00F24723"/>
    <w:rsid w:val="00F26BF4"/>
    <w:rsid w:val="00F6310C"/>
    <w:rsid w:val="00F75A68"/>
    <w:rsid w:val="00F85FCF"/>
    <w:rsid w:val="00FA62EB"/>
    <w:rsid w:val="00FA7022"/>
    <w:rsid w:val="00FB1199"/>
    <w:rsid w:val="00FC622A"/>
    <w:rsid w:val="00FC6F78"/>
    <w:rsid w:val="00FD3D2E"/>
    <w:rsid w:val="00FF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F5756"/>
  </w:style>
  <w:style w:type="paragraph" w:styleId="a6">
    <w:name w:val="Body Text"/>
    <w:basedOn w:val="a"/>
    <w:link w:val="a7"/>
    <w:rsid w:val="005F5756"/>
    <w:pPr>
      <w:spacing w:after="120"/>
    </w:pPr>
  </w:style>
  <w:style w:type="character" w:customStyle="1" w:styleId="a7">
    <w:name w:val="Основной текст Знак"/>
    <w:basedOn w:val="a0"/>
    <w:link w:val="a6"/>
    <w:rsid w:val="005F5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5F5756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37486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748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33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33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A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table" w:styleId="ab">
    <w:name w:val="Table Grid"/>
    <w:basedOn w:val="a1"/>
    <w:uiPriority w:val="59"/>
    <w:rsid w:val="009416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semiHidden/>
    <w:unhideWhenUsed/>
    <w:rsid w:val="00E54C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54C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0261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DB89592376A3A7C4A4621C9794FDF5FA90187B6D7E8239786DF02506FA7D0F380D37A504F5CE931B23F7F50AI2vC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C68430EF0831C9F431CEA3E83A13A9872788B59404DF58EDCA96D5EBE49F0837IFa6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log.gov.by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942E-4116-41C4-87B9-187EA85D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Машкович Наталья Геннадьевна</dc:creator>
  <cp:lastModifiedBy>Шелкович</cp:lastModifiedBy>
  <cp:revision>20</cp:revision>
  <cp:lastPrinted>2016-11-14T10:33:00Z</cp:lastPrinted>
  <dcterms:created xsi:type="dcterms:W3CDTF">2019-04-23T12:27:00Z</dcterms:created>
  <dcterms:modified xsi:type="dcterms:W3CDTF">2019-04-30T11:08:00Z</dcterms:modified>
</cp:coreProperties>
</file>